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B74666" w14:textId="77777777" w:rsidR="002D7A09" w:rsidRPr="008D7F6E" w:rsidRDefault="00332BB4">
      <w:pPr>
        <w:pStyle w:val="Ttulo2"/>
        <w:jc w:val="center"/>
        <w:rPr>
          <w:rFonts w:ascii="Arial" w:eastAsia="Arial" w:hAnsi="Arial" w:cs="Arial"/>
          <w:b/>
          <w:bCs/>
          <w:color w:val="auto"/>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 xml:space="preserve">LA </w:t>
      </w:r>
      <w:r w:rsidRPr="008D7F6E">
        <w:rPr>
          <w:rFonts w:ascii="Arial" w:eastAsia="Arial" w:hAnsi="Arial" w:cs="Arial"/>
          <w:b/>
          <w:bCs/>
          <w:color w:val="auto"/>
          <w:sz w:val="22"/>
          <w:szCs w:val="22"/>
          <w:highlight w:val="white"/>
        </w:rPr>
        <w:t>DIRECCIÓN DE INVESTIGACIONES Y CONTROL DE VIVIENDA DE LA SUBSECRETARÍA DE INSPECCIÓN, VIGILANCIA Y CONTROL DE VIVIENDA DE LA SECRETARÍA DISTRITAL DEL HÁBITAT</w:t>
      </w:r>
    </w:p>
    <w:p w14:paraId="64B74667" w14:textId="77777777" w:rsidR="002D7A09" w:rsidRPr="008D7F6E" w:rsidRDefault="002D7A09">
      <w:pPr>
        <w:jc w:val="center"/>
        <w:rPr>
          <w:rFonts w:ascii="Arial" w:eastAsia="Arial" w:hAnsi="Arial" w:cs="Arial"/>
          <w:sz w:val="22"/>
          <w:szCs w:val="22"/>
          <w:highlight w:val="white"/>
        </w:rPr>
      </w:pPr>
      <w:bookmarkStart w:id="1" w:name="_heading=h.tziib8mju948" w:colFirst="0" w:colLast="0"/>
      <w:bookmarkEnd w:id="1"/>
    </w:p>
    <w:p w14:paraId="64B74668" w14:textId="77777777" w:rsidR="002D7A09" w:rsidRPr="008D7F6E" w:rsidRDefault="00332BB4">
      <w:pPr>
        <w:jc w:val="center"/>
        <w:rPr>
          <w:rFonts w:ascii="Arial" w:eastAsia="Arial" w:hAnsi="Arial" w:cs="Arial"/>
          <w:sz w:val="22"/>
          <w:szCs w:val="22"/>
          <w:highlight w:val="white"/>
        </w:rPr>
      </w:pPr>
      <w:r w:rsidRPr="008D7F6E">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64B74669" w14:textId="77777777" w:rsidR="002D7A09" w:rsidRPr="008D7F6E" w:rsidRDefault="002D7A09">
      <w:pPr>
        <w:jc w:val="center"/>
        <w:rPr>
          <w:rFonts w:ascii="Arial" w:eastAsia="Arial" w:hAnsi="Arial" w:cs="Arial"/>
          <w:sz w:val="22"/>
          <w:szCs w:val="22"/>
          <w:highlight w:val="white"/>
        </w:rPr>
      </w:pPr>
    </w:p>
    <w:p w14:paraId="64B7466A" w14:textId="77777777" w:rsidR="002D7A09" w:rsidRPr="008D7F6E" w:rsidRDefault="00332BB4">
      <w:pPr>
        <w:jc w:val="center"/>
        <w:rPr>
          <w:rFonts w:ascii="Arial" w:eastAsia="Arial" w:hAnsi="Arial" w:cs="Arial"/>
          <w:b/>
          <w:bCs/>
          <w:sz w:val="22"/>
          <w:szCs w:val="22"/>
          <w:highlight w:val="white"/>
        </w:rPr>
      </w:pPr>
      <w:r w:rsidRPr="008D7F6E">
        <w:rPr>
          <w:rFonts w:ascii="Arial" w:eastAsia="Arial" w:hAnsi="Arial" w:cs="Arial"/>
          <w:b/>
          <w:bCs/>
          <w:sz w:val="22"/>
          <w:szCs w:val="22"/>
          <w:highlight w:val="white"/>
        </w:rPr>
        <w:t>CONSIDERANDO:</w:t>
      </w:r>
    </w:p>
    <w:p w14:paraId="64B7466B" w14:textId="77777777" w:rsidR="002D7A09" w:rsidRPr="008D7F6E" w:rsidRDefault="002D7A09">
      <w:pPr>
        <w:jc w:val="both"/>
        <w:rPr>
          <w:rFonts w:ascii="Arial" w:eastAsia="Arial" w:hAnsi="Arial" w:cs="Arial"/>
          <w:sz w:val="22"/>
          <w:szCs w:val="22"/>
        </w:rPr>
      </w:pPr>
      <w:bookmarkStart w:id="2" w:name="_heading=h.vmq5jlsylcjh" w:colFirst="0" w:colLast="0"/>
      <w:bookmarkEnd w:id="2"/>
    </w:p>
    <w:p w14:paraId="64B7466C" w14:textId="07CFBFB3" w:rsidR="002D7A09" w:rsidRPr="00216B92" w:rsidRDefault="00332BB4">
      <w:pPr>
        <w:widowControl w:val="0"/>
        <w:pBdr>
          <w:top w:val="nil"/>
          <w:left w:val="nil"/>
          <w:bottom w:val="nil"/>
          <w:right w:val="nil"/>
          <w:between w:val="nil"/>
        </w:pBdr>
        <w:jc w:val="both"/>
        <w:rPr>
          <w:rFonts w:ascii="Arial" w:eastAsia="Arial" w:hAnsi="Arial" w:cs="Arial"/>
          <w:sz w:val="22"/>
          <w:szCs w:val="22"/>
        </w:rPr>
      </w:pPr>
      <w:r w:rsidRPr="008D7F6E">
        <w:rPr>
          <w:rFonts w:ascii="Arial" w:eastAsia="Arial" w:hAnsi="Arial" w:cs="Arial"/>
          <w:sz w:val="22"/>
          <w:szCs w:val="22"/>
        </w:rPr>
        <w:t>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CESAR AUGUSTO PA</w:t>
      </w:r>
      <w:r w:rsidR="002B1275">
        <w:rPr>
          <w:rFonts w:ascii="Arial" w:eastAsia="Arial" w:hAnsi="Arial" w:cs="Arial"/>
          <w:sz w:val="22"/>
          <w:szCs w:val="22"/>
        </w:rPr>
        <w:t>Z</w:t>
      </w:r>
      <w:r w:rsidRPr="008D7F6E">
        <w:rPr>
          <w:rFonts w:ascii="Arial" w:eastAsia="Arial" w:hAnsi="Arial" w:cs="Arial"/>
          <w:sz w:val="22"/>
          <w:szCs w:val="22"/>
        </w:rPr>
        <w:t xml:space="preserve">OS ALARCÓN en su condición de apoderado especial del Proyecto de vivienda EDIFICIO GIARDINO 144 - PROPIEDAD HORIZONTAL ubicado en la calle 144 #13-42 de Bogotá por las presuntas irregularidades </w:t>
      </w:r>
      <w:r w:rsidRPr="002B1275">
        <w:rPr>
          <w:rFonts w:ascii="Arial" w:eastAsia="Arial" w:hAnsi="Arial" w:cs="Arial"/>
          <w:sz w:val="22"/>
          <w:szCs w:val="22"/>
        </w:rPr>
        <w:t xml:space="preserve">constructivas en las zonas comunes del referido inmueble, contra la sociedad enajenadora </w:t>
      </w:r>
      <w:r w:rsidRPr="002B1275">
        <w:rPr>
          <w:rFonts w:ascii="Arial" w:eastAsia="Arial" w:hAnsi="Arial" w:cs="Arial"/>
          <w:sz w:val="22"/>
          <w:szCs w:val="22"/>
          <w:highlight w:val="white"/>
        </w:rPr>
        <w:t>CMS + GMP ASOCIADOS S A S - EN LIQUIDACIÓN JUDICIAL,</w:t>
      </w:r>
      <w:r w:rsidRPr="002B1275">
        <w:rPr>
          <w:rFonts w:ascii="Arial" w:eastAsia="Arial" w:hAnsi="Arial" w:cs="Arial"/>
          <w:sz w:val="22"/>
          <w:szCs w:val="22"/>
        </w:rPr>
        <w:t xml:space="preserve"> identificada</w:t>
      </w:r>
      <w:r w:rsidRPr="00216B92">
        <w:rPr>
          <w:rFonts w:ascii="Arial" w:eastAsia="Arial" w:hAnsi="Arial" w:cs="Arial"/>
          <w:sz w:val="22"/>
          <w:szCs w:val="22"/>
        </w:rPr>
        <w:t xml:space="preserve"> con NIT. 900.193.192-8, representada legalmente por el liquidador GILBERTO NARANJO RODRIGUEZ (o quien haga sus veces), actuación a la que le correspondió el radicado 1-2018-</w:t>
      </w:r>
      <w:r w:rsidR="00216B92" w:rsidRPr="00216B92">
        <w:rPr>
          <w:rFonts w:ascii="Arial" w:eastAsia="Arial" w:hAnsi="Arial" w:cs="Arial"/>
          <w:sz w:val="22"/>
          <w:szCs w:val="22"/>
        </w:rPr>
        <w:t>15326</w:t>
      </w:r>
      <w:r w:rsidRPr="00216B92">
        <w:rPr>
          <w:rFonts w:ascii="Arial" w:eastAsia="Arial" w:hAnsi="Arial" w:cs="Arial"/>
          <w:sz w:val="22"/>
          <w:szCs w:val="22"/>
        </w:rPr>
        <w:t>.</w:t>
      </w:r>
    </w:p>
    <w:p w14:paraId="64B7466D" w14:textId="77777777" w:rsidR="002D7A09" w:rsidRPr="008D7F6E" w:rsidRDefault="002D7A09">
      <w:pPr>
        <w:widowControl w:val="0"/>
        <w:pBdr>
          <w:top w:val="nil"/>
          <w:left w:val="nil"/>
          <w:bottom w:val="nil"/>
          <w:right w:val="nil"/>
          <w:between w:val="nil"/>
        </w:pBdr>
        <w:jc w:val="both"/>
        <w:rPr>
          <w:rFonts w:ascii="Arial" w:eastAsia="Arial" w:hAnsi="Arial" w:cs="Arial"/>
          <w:sz w:val="22"/>
          <w:szCs w:val="22"/>
        </w:rPr>
      </w:pPr>
    </w:p>
    <w:p w14:paraId="64B7466E" w14:textId="77777777" w:rsidR="002D7A09" w:rsidRPr="002B1275" w:rsidRDefault="00332BB4">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sidRPr="008D7F6E">
        <w:rPr>
          <w:rFonts w:ascii="Arial" w:eastAsia="Arial" w:hAnsi="Arial" w:cs="Arial"/>
          <w:sz w:val="22"/>
          <w:szCs w:val="22"/>
        </w:rPr>
        <w:t xml:space="preserve">Que, una </w:t>
      </w:r>
      <w:r w:rsidRPr="002B1275">
        <w:rPr>
          <w:rFonts w:ascii="Arial" w:eastAsia="Arial" w:hAnsi="Arial" w:cs="Arial"/>
          <w:sz w:val="22"/>
          <w:szCs w:val="22"/>
        </w:rPr>
        <w:t>vez surtidas las actuaciones procesales pertinentes, esta Dirección, mediante Resolución No. 1218 del 18 de junio de 2021, "</w:t>
      </w:r>
      <w:r w:rsidRPr="002B1275">
        <w:rPr>
          <w:rFonts w:ascii="Arial" w:eastAsia="Arial" w:hAnsi="Arial" w:cs="Arial"/>
          <w:i/>
          <w:iCs/>
          <w:sz w:val="22"/>
          <w:szCs w:val="22"/>
        </w:rPr>
        <w:t>Por la cual se impone una sanción y se imparte una orden</w:t>
      </w:r>
      <w:r w:rsidRPr="002B1275">
        <w:rPr>
          <w:rFonts w:ascii="Arial" w:eastAsia="Arial" w:hAnsi="Arial" w:cs="Arial"/>
          <w:sz w:val="22"/>
          <w:szCs w:val="22"/>
        </w:rPr>
        <w:t xml:space="preserve">", multó a la sociedad enajenadora </w:t>
      </w:r>
      <w:r w:rsidRPr="002B1275">
        <w:rPr>
          <w:rFonts w:ascii="Arial" w:eastAsia="Arial" w:hAnsi="Arial" w:cs="Arial"/>
          <w:sz w:val="22"/>
          <w:szCs w:val="22"/>
          <w:highlight w:val="white"/>
        </w:rPr>
        <w:t>CMS + GMP ASOCIADOS S A S - EN LIQUIDACIÓN JUDICIAL</w:t>
      </w:r>
      <w:r w:rsidRPr="002B1275">
        <w:rPr>
          <w:rFonts w:ascii="Arial" w:eastAsia="Arial" w:hAnsi="Arial" w:cs="Arial"/>
          <w:sz w:val="22"/>
          <w:szCs w:val="22"/>
        </w:rPr>
        <w:t>, identificada con NIT. 900.193.192-8 y, representada legalmente por el liquidador GILBERTO NARANJO RODRIGUEZ (o quien haga sus veces), con la suma de TREINTA Y NUEVE MIL PESOS ($39.000), que corresponden a SEIS MILLONES CIENTO CINCUENTA Y UN MIL OCHOCIENTOS VEINTISÉIS PESOS ($6.151.826) M/CT C.</w:t>
      </w:r>
    </w:p>
    <w:p w14:paraId="64B7466F" w14:textId="77777777" w:rsidR="002D7A09" w:rsidRPr="008D7F6E" w:rsidRDefault="002D7A09">
      <w:pPr>
        <w:widowControl w:val="0"/>
        <w:pBdr>
          <w:top w:val="nil"/>
          <w:left w:val="nil"/>
          <w:bottom w:val="nil"/>
          <w:right w:val="nil"/>
          <w:between w:val="nil"/>
        </w:pBdr>
        <w:jc w:val="both"/>
        <w:rPr>
          <w:rFonts w:ascii="Arial" w:eastAsia="Arial" w:hAnsi="Arial" w:cs="Arial"/>
          <w:sz w:val="22"/>
          <w:szCs w:val="22"/>
        </w:rPr>
      </w:pPr>
      <w:bookmarkStart w:id="4" w:name="_heading=h.1jd80eymxi61" w:colFirst="0" w:colLast="0"/>
      <w:bookmarkEnd w:id="4"/>
    </w:p>
    <w:p w14:paraId="64B74670" w14:textId="77777777" w:rsidR="002D7A09" w:rsidRPr="008D7F6E" w:rsidRDefault="00332BB4">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sidRPr="008D7F6E">
        <w:rPr>
          <w:rFonts w:ascii="Arial" w:eastAsia="Arial" w:hAnsi="Arial" w:cs="Arial"/>
          <w:sz w:val="22"/>
          <w:szCs w:val="22"/>
        </w:rPr>
        <w:t>Que, en los artículos segundo, tercero y cuarto de la Resolución No. 1218 del 18 de junio de 2021, “</w:t>
      </w:r>
      <w:r w:rsidRPr="008D7F6E">
        <w:rPr>
          <w:rFonts w:ascii="Arial" w:eastAsia="Arial" w:hAnsi="Arial" w:cs="Arial"/>
          <w:i/>
          <w:iCs/>
          <w:sz w:val="22"/>
          <w:szCs w:val="22"/>
        </w:rPr>
        <w:t>Por la cual se impone una sanción y se imparte una orden</w:t>
      </w:r>
      <w:r w:rsidRPr="008D7F6E">
        <w:rPr>
          <w:rFonts w:ascii="Arial" w:eastAsia="Arial" w:hAnsi="Arial" w:cs="Arial"/>
          <w:sz w:val="22"/>
          <w:szCs w:val="22"/>
        </w:rPr>
        <w:t xml:space="preserve">”, se estableció: </w:t>
      </w:r>
    </w:p>
    <w:p w14:paraId="64B74672" w14:textId="77777777" w:rsidR="002D7A09" w:rsidRPr="008D7F6E" w:rsidRDefault="002D7A09" w:rsidP="000200A4">
      <w:pPr>
        <w:ind w:right="680"/>
        <w:jc w:val="both"/>
        <w:rPr>
          <w:rFonts w:ascii="Arial" w:eastAsia="Arial" w:hAnsi="Arial" w:cs="Arial"/>
          <w:i/>
          <w:iCs/>
          <w:sz w:val="22"/>
          <w:szCs w:val="22"/>
        </w:rPr>
      </w:pPr>
    </w:p>
    <w:p w14:paraId="64B74674" w14:textId="4433DD9E" w:rsidR="002D7A09" w:rsidRPr="008D7F6E" w:rsidRDefault="00332BB4" w:rsidP="00672011">
      <w:pPr>
        <w:ind w:left="680" w:right="-93"/>
        <w:jc w:val="both"/>
        <w:rPr>
          <w:rFonts w:ascii="Arial" w:eastAsia="Arial" w:hAnsi="Arial" w:cs="Arial"/>
          <w:i/>
          <w:iCs/>
          <w:sz w:val="22"/>
          <w:szCs w:val="22"/>
        </w:rPr>
      </w:pPr>
      <w:r w:rsidRPr="008D7F6E">
        <w:rPr>
          <w:rFonts w:ascii="Arial" w:eastAsia="Arial" w:hAnsi="Arial" w:cs="Arial"/>
          <w:b/>
          <w:bCs/>
          <w:i/>
          <w:iCs/>
          <w:sz w:val="22"/>
          <w:szCs w:val="22"/>
        </w:rPr>
        <w:t>ARTÍCULO SEGUNDO:</w:t>
      </w:r>
      <w:r w:rsidRPr="008D7F6E">
        <w:rPr>
          <w:rFonts w:ascii="Arial" w:eastAsia="Arial" w:hAnsi="Arial" w:cs="Arial"/>
          <w:i/>
          <w:iCs/>
          <w:sz w:val="22"/>
          <w:szCs w:val="22"/>
        </w:rPr>
        <w:t xml:space="preserve"> Requerir a la sociedad enajenadora CMS + GMP ASOCIADOS SAS EN LIQUIDACIÓN JUDICIAL, identificada con NIT 900.193.192-8, representada legalmente por el liquidador GILBERTO NARANJO RAMIREZ (o quien haga sus veces), para que </w:t>
      </w:r>
      <w:r w:rsidR="000200A4" w:rsidRPr="008D7F6E">
        <w:rPr>
          <w:rFonts w:ascii="Arial" w:eastAsia="Arial" w:hAnsi="Arial" w:cs="Arial"/>
          <w:i/>
          <w:iCs/>
          <w:sz w:val="22"/>
          <w:szCs w:val="22"/>
        </w:rPr>
        <w:t>dentro</w:t>
      </w:r>
      <w:r w:rsidRPr="008D7F6E">
        <w:rPr>
          <w:rFonts w:ascii="Arial" w:eastAsia="Arial" w:hAnsi="Arial" w:cs="Arial"/>
          <w:i/>
          <w:iCs/>
          <w:sz w:val="22"/>
          <w:szCs w:val="22"/>
        </w:rPr>
        <w:t xml:space="preserve"> del término de CINCO (5) MESES (calendario) siguientes a la ejecutoria del presente acto administrativo se acoja a la normatividad infringida, para lo cual deberá </w:t>
      </w:r>
      <w:r w:rsidR="000200A4" w:rsidRPr="008D7F6E">
        <w:rPr>
          <w:rFonts w:ascii="Arial" w:eastAsia="Arial" w:hAnsi="Arial" w:cs="Arial"/>
          <w:i/>
          <w:iCs/>
          <w:sz w:val="22"/>
          <w:szCs w:val="22"/>
        </w:rPr>
        <w:t>solucionar</w:t>
      </w:r>
      <w:r w:rsidRPr="008D7F6E">
        <w:rPr>
          <w:rFonts w:ascii="Arial" w:eastAsia="Arial" w:hAnsi="Arial" w:cs="Arial"/>
          <w:i/>
          <w:iCs/>
          <w:sz w:val="22"/>
          <w:szCs w:val="22"/>
        </w:rPr>
        <w:t xml:space="preserve"> en forma definitiva los hallazgos "11. CONCEPTO DE BOMBEROS" y "13.IMPERMEABILIZACIÓN TECHO SEMISOTANO-DEBAJO DE RAMPA Y DEPÓSITO 100", que afectan las áreas </w:t>
      </w:r>
      <w:r w:rsidRPr="008D7F6E">
        <w:rPr>
          <w:rFonts w:ascii="Arial" w:eastAsia="Arial" w:hAnsi="Arial" w:cs="Arial"/>
          <w:i/>
          <w:iCs/>
          <w:sz w:val="22"/>
          <w:szCs w:val="22"/>
        </w:rPr>
        <w:lastRenderedPageBreak/>
        <w:t>comunes del proyecto de vivienda EDIFICIO GIARDINO 144 - PROPIEDAD HORIZONTAL, ya que constituyen deficiencias constructivas de carácter grave, conforme se evidencia en el Informe de Verificación de Hechos No. 20-149 del 26 de junio de 2020. Lo anterior en el evento de que dichos hechos no hayan sido intervenidos al momento de la expedición de la presente Resolución.</w:t>
      </w:r>
    </w:p>
    <w:p w14:paraId="64B74675" w14:textId="77777777" w:rsidR="002D7A09" w:rsidRPr="008D7F6E" w:rsidRDefault="002D7A09" w:rsidP="00672011">
      <w:pPr>
        <w:ind w:left="680" w:right="-93"/>
        <w:jc w:val="both"/>
        <w:rPr>
          <w:rFonts w:ascii="Arial" w:eastAsia="Arial" w:hAnsi="Arial" w:cs="Arial"/>
          <w:i/>
          <w:iCs/>
          <w:sz w:val="22"/>
          <w:szCs w:val="22"/>
        </w:rPr>
      </w:pPr>
    </w:p>
    <w:p w14:paraId="64B74676" w14:textId="77777777" w:rsidR="002D7A09" w:rsidRPr="008D7F6E" w:rsidRDefault="00332BB4" w:rsidP="00672011">
      <w:pPr>
        <w:ind w:left="680" w:right="-93"/>
        <w:jc w:val="both"/>
        <w:rPr>
          <w:rFonts w:ascii="Arial" w:eastAsia="Arial" w:hAnsi="Arial" w:cs="Arial"/>
          <w:i/>
          <w:iCs/>
          <w:sz w:val="22"/>
          <w:szCs w:val="22"/>
        </w:rPr>
      </w:pPr>
      <w:r w:rsidRPr="008D7F6E">
        <w:rPr>
          <w:rFonts w:ascii="Arial" w:eastAsia="Arial" w:hAnsi="Arial" w:cs="Arial"/>
          <w:b/>
          <w:bCs/>
          <w:i/>
          <w:iCs/>
          <w:sz w:val="22"/>
          <w:szCs w:val="22"/>
        </w:rPr>
        <w:t>ARTÍCULO TERCERO:</w:t>
      </w:r>
      <w:r w:rsidRPr="008D7F6E">
        <w:rPr>
          <w:rFonts w:ascii="Arial" w:eastAsia="Arial" w:hAnsi="Arial" w:cs="Arial"/>
          <w:i/>
          <w:iCs/>
          <w:sz w:val="22"/>
          <w:szCs w:val="22"/>
        </w:rPr>
        <w:t xml:space="preserve"> Ordenar a la sociedad enajenadora CMS + GMP ASOCIADOS SAS EN LIQUIDACIÓN JUDICIAL, identificada con NIT 900.193.192-8, representada legalmente por el liquidador GILBERTO NARANJO RAMIREZ (o quien haga sus veces) para que dentro de los diez (10) días (hábiles) siguientes al cumplimiento del término otorgado en el artículo anterior, acredite ante este Despacho la realización de las labores de corrección sobre los citados hechos.</w:t>
      </w:r>
    </w:p>
    <w:p w14:paraId="64B74677" w14:textId="77777777" w:rsidR="002D7A09" w:rsidRPr="008D7F6E" w:rsidRDefault="002D7A09" w:rsidP="00672011">
      <w:pPr>
        <w:ind w:left="680" w:right="-93"/>
        <w:jc w:val="both"/>
        <w:rPr>
          <w:rFonts w:ascii="Arial" w:eastAsia="Arial" w:hAnsi="Arial" w:cs="Arial"/>
          <w:i/>
          <w:iCs/>
          <w:sz w:val="22"/>
          <w:szCs w:val="22"/>
        </w:rPr>
      </w:pPr>
    </w:p>
    <w:p w14:paraId="64B74678" w14:textId="77777777" w:rsidR="002D7A09" w:rsidRPr="008D7F6E" w:rsidRDefault="00332BB4" w:rsidP="00672011">
      <w:pPr>
        <w:ind w:left="680" w:right="-93"/>
        <w:jc w:val="both"/>
        <w:rPr>
          <w:rFonts w:ascii="Arial" w:eastAsia="Arial" w:hAnsi="Arial" w:cs="Arial"/>
          <w:i/>
          <w:iCs/>
          <w:sz w:val="22"/>
          <w:szCs w:val="22"/>
        </w:rPr>
      </w:pPr>
      <w:r w:rsidRPr="008D7F6E">
        <w:rPr>
          <w:rFonts w:ascii="Arial" w:eastAsia="Arial" w:hAnsi="Arial" w:cs="Arial"/>
          <w:b/>
          <w:bCs/>
          <w:i/>
          <w:iCs/>
          <w:sz w:val="22"/>
          <w:szCs w:val="22"/>
        </w:rPr>
        <w:t xml:space="preserve">ARTÍCULO CUARTO: </w:t>
      </w:r>
      <w:r w:rsidRPr="008D7F6E">
        <w:rPr>
          <w:rFonts w:ascii="Arial" w:eastAsia="Arial" w:hAnsi="Arial" w:cs="Arial"/>
          <w:i/>
          <w:iCs/>
          <w:sz w:val="22"/>
          <w:szCs w:val="22"/>
        </w:rPr>
        <w:t>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64B74679" w14:textId="77777777" w:rsidR="002D7A09" w:rsidRPr="008D7F6E" w:rsidRDefault="002D7A09">
      <w:pPr>
        <w:ind w:left="680" w:right="680"/>
        <w:jc w:val="both"/>
        <w:rPr>
          <w:rFonts w:ascii="Arial" w:eastAsia="Arial" w:hAnsi="Arial" w:cs="Arial"/>
          <w:i/>
          <w:iCs/>
          <w:sz w:val="22"/>
          <w:szCs w:val="22"/>
        </w:rPr>
      </w:pPr>
    </w:p>
    <w:p w14:paraId="64B7467A" w14:textId="52603122" w:rsidR="002D7A09" w:rsidRPr="00672011" w:rsidRDefault="00942BA4">
      <w:pPr>
        <w:ind w:right="-92"/>
        <w:jc w:val="both"/>
        <w:rPr>
          <w:rFonts w:ascii="Arial" w:eastAsia="Arial" w:hAnsi="Arial" w:cs="Arial"/>
          <w:sz w:val="22"/>
          <w:szCs w:val="22"/>
        </w:rPr>
      </w:pPr>
      <w:r w:rsidRPr="008D7F6E">
        <w:rPr>
          <w:rFonts w:ascii="Arial" w:eastAsia="Arial" w:hAnsi="Arial" w:cs="Arial"/>
          <w:sz w:val="22"/>
          <w:szCs w:val="22"/>
        </w:rPr>
        <w:t xml:space="preserve">Que, </w:t>
      </w:r>
      <w:r w:rsidR="00672011">
        <w:rPr>
          <w:rFonts w:ascii="Arial" w:eastAsia="Arial" w:hAnsi="Arial" w:cs="Arial"/>
          <w:sz w:val="22"/>
          <w:szCs w:val="22"/>
        </w:rPr>
        <w:t xml:space="preserve">luego de notificada en debida forma, </w:t>
      </w:r>
      <w:r w:rsidRPr="008D7F6E">
        <w:rPr>
          <w:rFonts w:ascii="Arial" w:eastAsia="Arial" w:hAnsi="Arial" w:cs="Arial"/>
          <w:sz w:val="22"/>
          <w:szCs w:val="22"/>
        </w:rPr>
        <w:t xml:space="preserve">contra la Resolución No. 1218 del 18 de junio de 2021 no se interpuso recurso alguno quedando así debidamente </w:t>
      </w:r>
      <w:r w:rsidRPr="00672011">
        <w:rPr>
          <w:rFonts w:ascii="Arial" w:eastAsia="Arial" w:hAnsi="Arial" w:cs="Arial"/>
          <w:sz w:val="22"/>
          <w:szCs w:val="22"/>
        </w:rPr>
        <w:t>ejecutoriada siete (07) de septiembre de 2021</w:t>
      </w:r>
      <w:r w:rsidR="00332BB4" w:rsidRPr="00672011">
        <w:rPr>
          <w:rFonts w:ascii="Arial" w:eastAsia="Arial" w:hAnsi="Arial" w:cs="Arial"/>
          <w:sz w:val="22"/>
          <w:szCs w:val="22"/>
        </w:rPr>
        <w:t>.</w:t>
      </w:r>
    </w:p>
    <w:p w14:paraId="64B7467B" w14:textId="77777777" w:rsidR="002D7A09" w:rsidRPr="008D7F6E" w:rsidRDefault="002D7A09">
      <w:pPr>
        <w:ind w:right="-92"/>
        <w:jc w:val="both"/>
        <w:rPr>
          <w:rFonts w:ascii="Arial" w:eastAsia="Arial" w:hAnsi="Arial" w:cs="Arial"/>
          <w:sz w:val="22"/>
          <w:szCs w:val="22"/>
        </w:rPr>
      </w:pPr>
    </w:p>
    <w:p w14:paraId="64B7467C" w14:textId="482440A6" w:rsidR="002D7A09" w:rsidRPr="008D7F6E" w:rsidRDefault="00DA6073">
      <w:pPr>
        <w:ind w:right="-92"/>
        <w:jc w:val="both"/>
        <w:rPr>
          <w:rFonts w:ascii="Arial" w:eastAsia="Arial" w:hAnsi="Arial" w:cs="Arial"/>
          <w:sz w:val="22"/>
          <w:szCs w:val="22"/>
        </w:rPr>
      </w:pPr>
      <w:r w:rsidRPr="008D7F6E">
        <w:rPr>
          <w:rFonts w:ascii="Arial" w:eastAsia="Arial" w:hAnsi="Arial" w:cs="Arial"/>
          <w:sz w:val="22"/>
          <w:szCs w:val="22"/>
        </w:rPr>
        <w:t>En consecuencia, se trasladó el expediente para visita de verificación de hechos, así las cosas, mediante radicados 2-2022-56095 y 2-2022-56096 del 12 de septiembre de 2022, informó tanto a la parte quejosa como a la sociedad enajenadora, de la visita de carácter técnico que se llevaría a cabo el día 06 de octubre de 2022 en el inmueble objeto de la queja</w:t>
      </w:r>
      <w:r w:rsidR="00332BB4" w:rsidRPr="008D7F6E">
        <w:rPr>
          <w:rFonts w:ascii="Arial" w:eastAsia="Arial" w:hAnsi="Arial" w:cs="Arial"/>
          <w:sz w:val="22"/>
          <w:szCs w:val="22"/>
        </w:rPr>
        <w:t>.</w:t>
      </w:r>
    </w:p>
    <w:p w14:paraId="64B7467D" w14:textId="77777777" w:rsidR="002D7A09" w:rsidRPr="008D7F6E" w:rsidRDefault="002D7A09">
      <w:pPr>
        <w:ind w:right="-92"/>
        <w:jc w:val="both"/>
        <w:rPr>
          <w:rFonts w:ascii="Arial" w:eastAsia="Arial" w:hAnsi="Arial" w:cs="Arial"/>
          <w:sz w:val="22"/>
          <w:szCs w:val="22"/>
        </w:rPr>
      </w:pPr>
    </w:p>
    <w:p w14:paraId="64B7467E" w14:textId="32260BB9" w:rsidR="002D7A09" w:rsidRPr="008D7F6E" w:rsidRDefault="0098179B">
      <w:pPr>
        <w:ind w:right="-92"/>
        <w:jc w:val="both"/>
        <w:rPr>
          <w:rFonts w:ascii="Arial" w:eastAsia="Arial" w:hAnsi="Arial" w:cs="Arial"/>
          <w:sz w:val="22"/>
          <w:szCs w:val="22"/>
        </w:rPr>
      </w:pPr>
      <w:r w:rsidRPr="008D7F6E">
        <w:rPr>
          <w:rFonts w:ascii="Arial" w:eastAsia="Arial" w:hAnsi="Arial" w:cs="Arial"/>
          <w:sz w:val="22"/>
          <w:szCs w:val="22"/>
        </w:rPr>
        <w:t>Que, de la visita técnica, a la que asistió únicamente la señora Alexandra Donato en calidad de representante Legal del proyecto de vivienda EDIFICIO GIARDINO 144 - PROPIEDAD HORIZONTAL, se derivó el Informe de Verificación de Hechos No. 23-144 del 08 de mayo de 2023 que evidenció los siguientes</w:t>
      </w:r>
      <w:r w:rsidR="00332BB4" w:rsidRPr="008D7F6E">
        <w:rPr>
          <w:rFonts w:ascii="Arial" w:eastAsia="Arial" w:hAnsi="Arial" w:cs="Arial"/>
          <w:sz w:val="22"/>
          <w:szCs w:val="22"/>
        </w:rPr>
        <w:t xml:space="preserve">: </w:t>
      </w:r>
    </w:p>
    <w:p w14:paraId="3F1C2F39" w14:textId="77777777" w:rsidR="008D7F6E" w:rsidRPr="008D7F6E" w:rsidRDefault="008D7F6E" w:rsidP="008D7F6E">
      <w:pPr>
        <w:ind w:right="-92"/>
        <w:jc w:val="both"/>
        <w:rPr>
          <w:rFonts w:ascii="Arial" w:eastAsia="Arial" w:hAnsi="Arial" w:cs="Arial"/>
          <w:sz w:val="22"/>
          <w:szCs w:val="22"/>
        </w:rPr>
      </w:pPr>
    </w:p>
    <w:p w14:paraId="374C717A" w14:textId="77777777" w:rsidR="008D7F6E" w:rsidRPr="008D7F6E" w:rsidRDefault="008D7F6E" w:rsidP="008D7F6E">
      <w:pPr>
        <w:ind w:right="-92"/>
        <w:jc w:val="center"/>
        <w:rPr>
          <w:rFonts w:ascii="Arial" w:eastAsia="Arial" w:hAnsi="Arial" w:cs="Arial"/>
          <w:i/>
          <w:iCs/>
          <w:sz w:val="22"/>
          <w:szCs w:val="22"/>
        </w:rPr>
      </w:pPr>
      <w:r w:rsidRPr="008D7F6E">
        <w:rPr>
          <w:rFonts w:ascii="Arial" w:eastAsia="Arial" w:hAnsi="Arial" w:cs="Arial"/>
          <w:i/>
          <w:iCs/>
          <w:sz w:val="22"/>
          <w:szCs w:val="22"/>
        </w:rPr>
        <w:t>HALLAZGOS:</w:t>
      </w:r>
    </w:p>
    <w:p w14:paraId="0AAA3203" w14:textId="77777777" w:rsidR="008D7F6E" w:rsidRPr="008D7F6E" w:rsidRDefault="008D7F6E" w:rsidP="008D7F6E">
      <w:pPr>
        <w:ind w:right="-92"/>
        <w:jc w:val="center"/>
        <w:rPr>
          <w:rFonts w:ascii="Arial" w:eastAsia="Arial" w:hAnsi="Arial" w:cs="Arial"/>
          <w:i/>
          <w:iCs/>
          <w:sz w:val="22"/>
          <w:szCs w:val="22"/>
        </w:rPr>
      </w:pPr>
    </w:p>
    <w:p w14:paraId="3E4D44A7" w14:textId="77777777" w:rsidR="008D7F6E" w:rsidRPr="008D7F6E" w:rsidRDefault="008D7F6E" w:rsidP="008D7F6E">
      <w:pPr>
        <w:ind w:left="680" w:right="680"/>
        <w:jc w:val="both"/>
        <w:rPr>
          <w:rFonts w:ascii="Arial" w:eastAsia="Arial" w:hAnsi="Arial" w:cs="Arial"/>
          <w:i/>
          <w:iCs/>
          <w:sz w:val="22"/>
          <w:szCs w:val="22"/>
        </w:rPr>
      </w:pPr>
      <w:r w:rsidRPr="008D7F6E">
        <w:rPr>
          <w:rFonts w:ascii="Arial" w:eastAsia="Arial" w:hAnsi="Arial" w:cs="Arial"/>
          <w:sz w:val="22"/>
          <w:szCs w:val="22"/>
        </w:rPr>
        <w:t>"</w:t>
      </w:r>
      <w:r w:rsidRPr="008D7F6E">
        <w:rPr>
          <w:rFonts w:ascii="Arial" w:eastAsia="Arial" w:hAnsi="Arial" w:cs="Arial"/>
          <w:b/>
          <w:bCs/>
          <w:i/>
          <w:iCs/>
          <w:sz w:val="22"/>
          <w:szCs w:val="22"/>
          <w:u w:val="single"/>
        </w:rPr>
        <w:t>11. CONCEPTO DE BOMBEROS:</w:t>
      </w:r>
    </w:p>
    <w:p w14:paraId="354F90E9" w14:textId="77777777" w:rsidR="008D7F6E" w:rsidRPr="008D7F6E" w:rsidRDefault="008D7F6E" w:rsidP="008D7F6E">
      <w:pPr>
        <w:ind w:left="680" w:right="680"/>
        <w:jc w:val="both"/>
        <w:rPr>
          <w:rFonts w:ascii="Arial" w:eastAsia="Arial" w:hAnsi="Arial" w:cs="Arial"/>
          <w:i/>
          <w:iCs/>
          <w:sz w:val="22"/>
          <w:szCs w:val="22"/>
        </w:rPr>
      </w:pPr>
    </w:p>
    <w:p w14:paraId="4877171B" w14:textId="77777777" w:rsidR="008D7F6E" w:rsidRPr="008D7F6E" w:rsidRDefault="008D7F6E" w:rsidP="008D7F6E">
      <w:pPr>
        <w:ind w:left="680" w:right="680"/>
        <w:jc w:val="both"/>
        <w:rPr>
          <w:rFonts w:ascii="Arial" w:eastAsia="Arial" w:hAnsi="Arial" w:cs="Arial"/>
          <w:i/>
          <w:iCs/>
          <w:sz w:val="22"/>
          <w:szCs w:val="22"/>
        </w:rPr>
      </w:pPr>
      <w:r w:rsidRPr="008D7F6E">
        <w:rPr>
          <w:rFonts w:ascii="Arial" w:eastAsia="Arial" w:hAnsi="Arial" w:cs="Arial"/>
          <w:i/>
          <w:iCs/>
          <w:sz w:val="22"/>
          <w:szCs w:val="22"/>
        </w:rPr>
        <w:t>Hace referencia este hallazgo al no contar con concepto de bomberos que exonere al edificio de tener detectores de humo automáticos de incendios, indicando que "No se observan detectores como complemento de la red contra incendios y se observa que el edificio cuenta con 13 pisos de altura…</w:t>
      </w:r>
    </w:p>
    <w:p w14:paraId="1BBE4632" w14:textId="77777777" w:rsidR="008D7F6E" w:rsidRPr="008D7F6E" w:rsidRDefault="008D7F6E" w:rsidP="008D7F6E">
      <w:pPr>
        <w:ind w:left="680" w:right="680"/>
        <w:jc w:val="both"/>
        <w:rPr>
          <w:rFonts w:ascii="Arial" w:eastAsia="Arial" w:hAnsi="Arial" w:cs="Arial"/>
          <w:i/>
          <w:iCs/>
          <w:sz w:val="22"/>
          <w:szCs w:val="22"/>
        </w:rPr>
      </w:pPr>
    </w:p>
    <w:p w14:paraId="6D97A867" w14:textId="77777777" w:rsidR="008D7F6E" w:rsidRPr="008D7F6E" w:rsidRDefault="008D7F6E" w:rsidP="008D7F6E">
      <w:pPr>
        <w:ind w:left="680" w:right="680"/>
        <w:jc w:val="both"/>
        <w:rPr>
          <w:rFonts w:ascii="Arial" w:eastAsia="Arial" w:hAnsi="Arial" w:cs="Arial"/>
          <w:i/>
          <w:iCs/>
          <w:sz w:val="22"/>
          <w:szCs w:val="22"/>
        </w:rPr>
      </w:pPr>
      <w:r w:rsidRPr="008D7F6E">
        <w:rPr>
          <w:rFonts w:ascii="Arial" w:eastAsia="Arial" w:hAnsi="Arial" w:cs="Arial"/>
          <w:i/>
          <w:iCs/>
          <w:sz w:val="22"/>
          <w:szCs w:val="22"/>
        </w:rPr>
        <w:t xml:space="preserve">Se procedió a realizar recorrido por los diferentes pisos del edificio, en donde no se observa la existencia, ni inicio de instalación de sensores de humo que permitan atender lo determinado en la orden. Por lo descrito se determina que el </w:t>
      </w:r>
      <w:r w:rsidRPr="008D7F6E">
        <w:rPr>
          <w:rFonts w:ascii="Arial" w:eastAsia="Arial" w:hAnsi="Arial" w:cs="Arial"/>
          <w:b/>
          <w:bCs/>
          <w:i/>
          <w:iCs/>
          <w:sz w:val="22"/>
          <w:szCs w:val="22"/>
        </w:rPr>
        <w:t>HECHO PERSISTE</w:t>
      </w:r>
      <w:r w:rsidRPr="008D7F6E">
        <w:rPr>
          <w:rFonts w:ascii="Arial" w:eastAsia="Arial" w:hAnsi="Arial" w:cs="Arial"/>
          <w:i/>
          <w:iCs/>
          <w:sz w:val="22"/>
          <w:szCs w:val="22"/>
        </w:rPr>
        <w:t>.</w:t>
      </w:r>
    </w:p>
    <w:p w14:paraId="6E24791E" w14:textId="77777777" w:rsidR="008D7F6E" w:rsidRPr="008D7F6E" w:rsidRDefault="008D7F6E" w:rsidP="008D7F6E">
      <w:pPr>
        <w:ind w:left="680" w:right="680"/>
        <w:jc w:val="both"/>
        <w:rPr>
          <w:rFonts w:ascii="Arial" w:eastAsia="Arial" w:hAnsi="Arial" w:cs="Arial"/>
          <w:i/>
          <w:iCs/>
          <w:sz w:val="22"/>
          <w:szCs w:val="22"/>
        </w:rPr>
      </w:pPr>
    </w:p>
    <w:p w14:paraId="08475DED" w14:textId="77777777" w:rsidR="008D7F6E" w:rsidRPr="008D7F6E" w:rsidRDefault="008D7F6E" w:rsidP="008D7F6E">
      <w:pPr>
        <w:ind w:left="680" w:right="680"/>
        <w:jc w:val="both"/>
        <w:rPr>
          <w:rFonts w:ascii="Arial" w:eastAsia="Arial" w:hAnsi="Arial" w:cs="Arial"/>
          <w:b/>
          <w:bCs/>
          <w:i/>
          <w:iCs/>
          <w:sz w:val="22"/>
          <w:szCs w:val="22"/>
          <w:u w:val="single"/>
        </w:rPr>
      </w:pPr>
      <w:r w:rsidRPr="008D7F6E">
        <w:rPr>
          <w:rFonts w:ascii="Arial" w:eastAsia="Arial" w:hAnsi="Arial" w:cs="Arial"/>
          <w:b/>
          <w:bCs/>
          <w:i/>
          <w:iCs/>
          <w:sz w:val="22"/>
          <w:szCs w:val="22"/>
          <w:u w:val="single"/>
        </w:rPr>
        <w:t>13. IMPERMEABILIZACION TECHO SEMISOTANO DEBAJO DE L ARAMPA Y DEPOSITO 100</w:t>
      </w:r>
    </w:p>
    <w:p w14:paraId="34EB0179" w14:textId="77777777" w:rsidR="008D7F6E" w:rsidRPr="008D7F6E" w:rsidRDefault="008D7F6E" w:rsidP="008D7F6E">
      <w:pPr>
        <w:ind w:left="680" w:right="680"/>
        <w:jc w:val="both"/>
        <w:rPr>
          <w:rFonts w:ascii="Arial" w:eastAsia="Arial" w:hAnsi="Arial" w:cs="Arial"/>
          <w:i/>
          <w:iCs/>
          <w:sz w:val="22"/>
          <w:szCs w:val="22"/>
        </w:rPr>
      </w:pPr>
    </w:p>
    <w:p w14:paraId="36A45786" w14:textId="77777777" w:rsidR="008D7F6E" w:rsidRPr="008D7F6E" w:rsidRDefault="008D7F6E" w:rsidP="008D7F6E">
      <w:pPr>
        <w:ind w:left="680" w:right="680"/>
        <w:jc w:val="both"/>
        <w:rPr>
          <w:rFonts w:ascii="Arial" w:eastAsia="Arial" w:hAnsi="Arial" w:cs="Arial"/>
          <w:i/>
          <w:iCs/>
          <w:sz w:val="22"/>
          <w:szCs w:val="22"/>
        </w:rPr>
      </w:pPr>
      <w:r w:rsidRPr="008D7F6E">
        <w:rPr>
          <w:rFonts w:ascii="Arial" w:eastAsia="Arial" w:hAnsi="Arial" w:cs="Arial"/>
          <w:i/>
          <w:iCs/>
          <w:sz w:val="22"/>
          <w:szCs w:val="22"/>
        </w:rPr>
        <w:t>Se relaciona con la calidad de la impermeabilización del techo del semisótano bajo rampa y deposito 100 que presenta filtraciones de agua, en donde, si bien había indicado el apoderado en el informe de verificación de Hechos 20-149, haber subsanado, pero está pendiente reparar afectaciones de los acabados, durante el recorrido se evidencia lo siguiente en la visita de seguimiento:</w:t>
      </w:r>
    </w:p>
    <w:p w14:paraId="59BE7DFA" w14:textId="77777777" w:rsidR="008D7F6E" w:rsidRPr="008D7F6E" w:rsidRDefault="008D7F6E" w:rsidP="008D7F6E">
      <w:pPr>
        <w:ind w:left="680" w:right="680"/>
        <w:jc w:val="both"/>
        <w:rPr>
          <w:rFonts w:ascii="Arial" w:eastAsia="Arial" w:hAnsi="Arial" w:cs="Arial"/>
          <w:i/>
          <w:iCs/>
          <w:sz w:val="22"/>
          <w:szCs w:val="22"/>
        </w:rPr>
      </w:pPr>
    </w:p>
    <w:p w14:paraId="7BF3D8E7" w14:textId="77777777" w:rsidR="008D7F6E" w:rsidRPr="003E2316" w:rsidRDefault="008D7F6E" w:rsidP="008D7F6E">
      <w:pPr>
        <w:ind w:left="680" w:right="680"/>
        <w:jc w:val="both"/>
        <w:rPr>
          <w:rFonts w:ascii="Arial" w:eastAsia="Arial" w:hAnsi="Arial" w:cs="Arial"/>
          <w:i/>
          <w:iCs/>
          <w:sz w:val="22"/>
          <w:szCs w:val="22"/>
        </w:rPr>
      </w:pPr>
      <w:r w:rsidRPr="008D7F6E">
        <w:rPr>
          <w:rFonts w:ascii="Arial" w:eastAsia="Arial" w:hAnsi="Arial" w:cs="Arial"/>
          <w:i/>
          <w:iCs/>
          <w:sz w:val="22"/>
          <w:szCs w:val="22"/>
        </w:rPr>
        <w:t xml:space="preserve">Bajo rampa, en el techo que da sobre cuarto de planta eléctrica, se observan </w:t>
      </w:r>
      <w:r w:rsidRPr="003E2316">
        <w:rPr>
          <w:rFonts w:ascii="Arial" w:eastAsia="Arial" w:hAnsi="Arial" w:cs="Arial"/>
          <w:i/>
          <w:iCs/>
          <w:sz w:val="22"/>
          <w:szCs w:val="22"/>
        </w:rPr>
        <w:t>rastros secos de humedad en el acabado y afectación del cielorraso, pese a que la administración ha realizado unas intervenciones paliativas.</w:t>
      </w:r>
    </w:p>
    <w:p w14:paraId="54D50423" w14:textId="77777777" w:rsidR="008D7F6E" w:rsidRPr="003E2316" w:rsidRDefault="008D7F6E" w:rsidP="008D7F6E">
      <w:pPr>
        <w:ind w:left="680" w:right="680"/>
        <w:jc w:val="both"/>
        <w:rPr>
          <w:rFonts w:ascii="Arial" w:eastAsia="Arial" w:hAnsi="Arial" w:cs="Arial"/>
          <w:i/>
          <w:iCs/>
          <w:sz w:val="22"/>
          <w:szCs w:val="22"/>
        </w:rPr>
      </w:pPr>
    </w:p>
    <w:p w14:paraId="0B0C940D" w14:textId="77777777" w:rsidR="008D7F6E" w:rsidRPr="003E2316" w:rsidRDefault="008D7F6E" w:rsidP="008D7F6E">
      <w:pPr>
        <w:ind w:left="680" w:right="680"/>
        <w:jc w:val="both"/>
        <w:rPr>
          <w:rFonts w:ascii="Arial" w:eastAsia="Arial" w:hAnsi="Arial" w:cs="Arial"/>
          <w:i/>
          <w:iCs/>
          <w:sz w:val="22"/>
          <w:szCs w:val="22"/>
        </w:rPr>
      </w:pPr>
      <w:r w:rsidRPr="003E2316">
        <w:rPr>
          <w:rFonts w:ascii="Arial" w:eastAsia="Arial" w:hAnsi="Arial" w:cs="Arial"/>
          <w:i/>
          <w:iCs/>
          <w:sz w:val="22"/>
          <w:szCs w:val="22"/>
        </w:rPr>
        <w:t>En cuanto hace referencia al Desposto 100, no se observa presencia de humedad algún en este.</w:t>
      </w:r>
    </w:p>
    <w:p w14:paraId="7C986852" w14:textId="77777777" w:rsidR="008D7F6E" w:rsidRPr="003E2316" w:rsidRDefault="008D7F6E" w:rsidP="008D7F6E">
      <w:pPr>
        <w:ind w:left="680" w:right="680"/>
        <w:jc w:val="both"/>
        <w:rPr>
          <w:rFonts w:ascii="Arial" w:eastAsia="Arial" w:hAnsi="Arial" w:cs="Arial"/>
          <w:i/>
          <w:iCs/>
          <w:sz w:val="22"/>
          <w:szCs w:val="22"/>
        </w:rPr>
      </w:pPr>
    </w:p>
    <w:p w14:paraId="7DE71B6E" w14:textId="77777777" w:rsidR="008D7F6E" w:rsidRPr="003E2316" w:rsidRDefault="008D7F6E" w:rsidP="008D7F6E">
      <w:pPr>
        <w:ind w:left="680" w:right="680"/>
        <w:jc w:val="both"/>
        <w:rPr>
          <w:rFonts w:ascii="Arial" w:eastAsia="Arial" w:hAnsi="Arial" w:cs="Arial"/>
          <w:i/>
          <w:iCs/>
          <w:sz w:val="22"/>
          <w:szCs w:val="22"/>
        </w:rPr>
      </w:pPr>
      <w:r w:rsidRPr="003E2316">
        <w:rPr>
          <w:rFonts w:ascii="Arial" w:eastAsia="Arial" w:hAnsi="Arial" w:cs="Arial"/>
          <w:i/>
          <w:iCs/>
          <w:sz w:val="22"/>
          <w:szCs w:val="22"/>
        </w:rPr>
        <w:t xml:space="preserve">En razón a lo descrito anteriormente, se estima que el hecho fue subsanado en la parte del depósito 100, pero se evidencia presencia de rastros de humedad bajo placa, por lo que se estima que el hecho </w:t>
      </w:r>
      <w:r w:rsidRPr="003E2316">
        <w:rPr>
          <w:rFonts w:ascii="Arial" w:eastAsia="Arial" w:hAnsi="Arial" w:cs="Arial"/>
          <w:b/>
          <w:bCs/>
          <w:i/>
          <w:iCs/>
          <w:sz w:val="22"/>
          <w:szCs w:val="22"/>
        </w:rPr>
        <w:t>FUE SUBSANADO PARCIALMENTE Y PERSISTE PARCIALMENTE</w:t>
      </w:r>
      <w:r w:rsidRPr="003E2316">
        <w:rPr>
          <w:rFonts w:ascii="Arial" w:eastAsia="Arial" w:hAnsi="Arial" w:cs="Arial"/>
          <w:i/>
          <w:iCs/>
          <w:sz w:val="22"/>
          <w:szCs w:val="22"/>
        </w:rPr>
        <w:t>.”</w:t>
      </w:r>
    </w:p>
    <w:p w14:paraId="64B74690" w14:textId="77777777" w:rsidR="002D7A09" w:rsidRPr="003E2316" w:rsidRDefault="002D7A09">
      <w:pPr>
        <w:ind w:right="-92"/>
        <w:jc w:val="both"/>
        <w:rPr>
          <w:rFonts w:ascii="Arial" w:eastAsia="Arial" w:hAnsi="Arial" w:cs="Arial"/>
          <w:i/>
          <w:iCs/>
          <w:sz w:val="22"/>
          <w:szCs w:val="22"/>
        </w:rPr>
      </w:pPr>
    </w:p>
    <w:p w14:paraId="64B74691" w14:textId="67CAF63C" w:rsidR="002D7A09" w:rsidRPr="003E2316" w:rsidRDefault="00DE547D">
      <w:pPr>
        <w:ind w:right="-92"/>
        <w:jc w:val="both"/>
        <w:rPr>
          <w:rFonts w:ascii="Arial" w:eastAsia="Arial" w:hAnsi="Arial" w:cs="Arial"/>
          <w:i/>
          <w:iCs/>
          <w:sz w:val="22"/>
          <w:szCs w:val="22"/>
        </w:rPr>
      </w:pPr>
      <w:r w:rsidRPr="003E2316">
        <w:rPr>
          <w:rFonts w:ascii="Arial" w:eastAsia="Arial" w:hAnsi="Arial" w:cs="Arial"/>
          <w:sz w:val="22"/>
          <w:szCs w:val="22"/>
        </w:rPr>
        <w:t>Que, mediante radicados 2-2023-52750 del 20 de julio de 2023, esta Dirección dio traslado el Informe de Verificación de Hechos No. 23-144 del 08 de mayo de 2023 a la sociedad enajenadora, el cual fue notificado por aviso en sede electrónica el día 08 de agosto de 2023. Ante lo cual guardó silencio</w:t>
      </w:r>
      <w:r w:rsidR="00332BB4" w:rsidRPr="003E2316">
        <w:rPr>
          <w:rFonts w:ascii="Arial" w:eastAsia="Arial" w:hAnsi="Arial" w:cs="Arial"/>
          <w:i/>
          <w:iCs/>
          <w:sz w:val="22"/>
          <w:szCs w:val="22"/>
        </w:rPr>
        <w:t>.</w:t>
      </w:r>
    </w:p>
    <w:p w14:paraId="64B74694" w14:textId="77777777" w:rsidR="002D7A09" w:rsidRPr="003E2316" w:rsidRDefault="002D7A09">
      <w:pPr>
        <w:ind w:right="-92"/>
        <w:jc w:val="both"/>
        <w:rPr>
          <w:rFonts w:ascii="Arial" w:eastAsia="Arial" w:hAnsi="Arial" w:cs="Arial"/>
          <w:sz w:val="22"/>
          <w:szCs w:val="22"/>
        </w:rPr>
      </w:pPr>
    </w:p>
    <w:p w14:paraId="64B74697" w14:textId="5AEDCFD5" w:rsidR="002D7A09" w:rsidRPr="003E2316" w:rsidRDefault="003E2316">
      <w:pPr>
        <w:ind w:right="-92"/>
        <w:jc w:val="both"/>
        <w:rPr>
          <w:rFonts w:ascii="Arial" w:eastAsia="Arial" w:hAnsi="Arial" w:cs="Arial"/>
          <w:i/>
          <w:iCs/>
          <w:sz w:val="22"/>
          <w:szCs w:val="22"/>
        </w:rPr>
      </w:pPr>
      <w:r w:rsidRPr="003E2316">
        <w:rPr>
          <w:rFonts w:ascii="Arial" w:eastAsia="Arial" w:hAnsi="Arial" w:cs="Arial"/>
          <w:sz w:val="22"/>
          <w:szCs w:val="22"/>
        </w:rPr>
        <w:t>Que de conformidad con las facultades de control otorgadas a esta Dirección y teniendo en cuenta que la orden de hacer no ha sido subsanada, se procedió a emitir la Resolución No. 1982 del 14 de septiembre de 2023, “</w:t>
      </w:r>
      <w:r w:rsidRPr="003E2316">
        <w:rPr>
          <w:rFonts w:ascii="Arial" w:eastAsia="Arial" w:hAnsi="Arial" w:cs="Arial"/>
          <w:i/>
          <w:iCs/>
          <w:sz w:val="22"/>
          <w:szCs w:val="22"/>
        </w:rPr>
        <w:t>por la cual se impone una multa por incumplimiento de una orden</w:t>
      </w:r>
      <w:r w:rsidRPr="003E2316">
        <w:rPr>
          <w:rFonts w:ascii="Arial" w:eastAsia="Arial" w:hAnsi="Arial" w:cs="Arial"/>
          <w:sz w:val="22"/>
          <w:szCs w:val="22"/>
        </w:rPr>
        <w:t>”, en la cual se impuso la sociedad enajenadora CMS + GMP ASOCIADOS S A S EN LIQUIDACIÓN JUDICIAL, identificada con NIT 900.193.192-8, multa por valor de DIECINUEVE MIL QUINIENTOS PESOS ($19.500.00) M/CTE, que indexados corresponden a la suma de TRES MILLONES SETECIENTOS NOVENTA Y NUEVE MIL SEISCIENTOS SETENTA Y CUATRO PESOS ($3.799.674) M/CTE.</w:t>
      </w:r>
    </w:p>
    <w:p w14:paraId="64B74698" w14:textId="77777777" w:rsidR="002D7A09" w:rsidRPr="00544DA1" w:rsidRDefault="002D7A09">
      <w:pPr>
        <w:ind w:right="-92"/>
        <w:jc w:val="both"/>
        <w:rPr>
          <w:rFonts w:ascii="Arial" w:eastAsia="Arial" w:hAnsi="Arial" w:cs="Arial"/>
          <w:i/>
          <w:iCs/>
          <w:sz w:val="22"/>
          <w:szCs w:val="22"/>
        </w:rPr>
      </w:pPr>
    </w:p>
    <w:p w14:paraId="54854F2D" w14:textId="57330E7B" w:rsidR="00544DA1" w:rsidRPr="00544DA1" w:rsidRDefault="00544DA1" w:rsidP="00544DA1">
      <w:pPr>
        <w:ind w:right="-92"/>
        <w:jc w:val="both"/>
        <w:rPr>
          <w:rFonts w:ascii="Arial" w:eastAsia="Arial" w:hAnsi="Arial" w:cs="Arial"/>
          <w:sz w:val="22"/>
          <w:szCs w:val="22"/>
        </w:rPr>
      </w:pPr>
      <w:r w:rsidRPr="00544DA1">
        <w:rPr>
          <w:rFonts w:ascii="Arial" w:eastAsia="Arial" w:hAnsi="Arial" w:cs="Arial"/>
          <w:sz w:val="22"/>
          <w:szCs w:val="22"/>
        </w:rPr>
        <w:t>Que, una vez notificado el precitado acto administrativo, mediante memorial radicado 1</w:t>
      </w:r>
      <w:r>
        <w:rPr>
          <w:rFonts w:ascii="Arial" w:eastAsia="Arial" w:hAnsi="Arial" w:cs="Arial"/>
          <w:sz w:val="22"/>
          <w:szCs w:val="22"/>
        </w:rPr>
        <w:t>-</w:t>
      </w:r>
      <w:r w:rsidRPr="00544DA1">
        <w:rPr>
          <w:rFonts w:ascii="Arial" w:eastAsia="Arial" w:hAnsi="Arial" w:cs="Arial"/>
          <w:sz w:val="22"/>
          <w:szCs w:val="22"/>
        </w:rPr>
        <w:t xml:space="preserve">2023-43037 del 20 de octubre de 2023, la sociedad enajenadora interpuso recurso de </w:t>
      </w:r>
      <w:r w:rsidRPr="00544DA1">
        <w:rPr>
          <w:rFonts w:ascii="Arial" w:eastAsia="Arial" w:hAnsi="Arial" w:cs="Arial"/>
          <w:sz w:val="22"/>
          <w:szCs w:val="22"/>
        </w:rPr>
        <w:lastRenderedPageBreak/>
        <w:t xml:space="preserve">reposición y en subsidio apelación contra la Resolución No. 1982 del 14 de septiembre de 2023, y allegó se allegó Acta de Conciliación Caso 119444 con acuerdo conciliatorio entre las partes. </w:t>
      </w:r>
    </w:p>
    <w:p w14:paraId="193B5FF2" w14:textId="77777777" w:rsidR="00544DA1" w:rsidRPr="0066253A" w:rsidRDefault="00544DA1" w:rsidP="00544DA1">
      <w:pPr>
        <w:ind w:right="-92"/>
        <w:jc w:val="both"/>
        <w:rPr>
          <w:rFonts w:ascii="Arial" w:eastAsia="Arial" w:hAnsi="Arial" w:cs="Arial"/>
          <w:sz w:val="22"/>
          <w:szCs w:val="22"/>
        </w:rPr>
      </w:pPr>
    </w:p>
    <w:p w14:paraId="64B7469D" w14:textId="15DC7E4A" w:rsidR="002D7A09" w:rsidRPr="00B006FB" w:rsidRDefault="00544DA1" w:rsidP="00544DA1">
      <w:pPr>
        <w:ind w:right="-92"/>
        <w:jc w:val="both"/>
        <w:rPr>
          <w:rFonts w:ascii="Arial" w:eastAsia="Arial" w:hAnsi="Arial" w:cs="Arial"/>
          <w:color w:val="FF9900"/>
          <w:sz w:val="22"/>
          <w:szCs w:val="22"/>
        </w:rPr>
      </w:pPr>
      <w:r w:rsidRPr="0066253A">
        <w:rPr>
          <w:rFonts w:ascii="Arial" w:eastAsia="Arial" w:hAnsi="Arial" w:cs="Arial"/>
          <w:sz w:val="22"/>
          <w:szCs w:val="22"/>
        </w:rPr>
        <w:t xml:space="preserve">Que, a través de la Resolución No. 118 del 15 de febrero de 2024, resolvió el recurso de reposición interpuesto, contra la Resolución No. 1982 del 14 de septiembre de 2023, mediante el cual </w:t>
      </w:r>
      <w:r w:rsidRPr="00D456C1">
        <w:rPr>
          <w:rFonts w:ascii="Arial" w:eastAsia="Arial" w:hAnsi="Arial" w:cs="Arial"/>
          <w:sz w:val="22"/>
          <w:szCs w:val="22"/>
        </w:rPr>
        <w:t xml:space="preserve">decidió no </w:t>
      </w:r>
      <w:r w:rsidRPr="00544DA1">
        <w:rPr>
          <w:rFonts w:ascii="Arial" w:eastAsia="Arial" w:hAnsi="Arial" w:cs="Arial"/>
          <w:sz w:val="22"/>
          <w:szCs w:val="22"/>
        </w:rPr>
        <w:t xml:space="preserve">reponer y confirmar en todas sus partes la Resolución recurrida y conceder el recurso de apelación interpuesto en forma subsidiaria, el cual fue resuelto mediante Resolución No. 665 del 23 de agosto de 2024, resolvió confirmar en todas sus partes la Resolución No. 1982 del 14 de septiembre de 2023. Quedando debidamente ejecutoriada el </w:t>
      </w:r>
      <w:r w:rsidRPr="00B006FB">
        <w:rPr>
          <w:rFonts w:ascii="Arial" w:eastAsia="Arial" w:hAnsi="Arial" w:cs="Arial"/>
          <w:sz w:val="22"/>
          <w:szCs w:val="22"/>
        </w:rPr>
        <w:t>doce (12) de septiembre de 2024</w:t>
      </w:r>
      <w:r w:rsidR="00332BB4" w:rsidRPr="00B006FB">
        <w:rPr>
          <w:rFonts w:ascii="Arial" w:eastAsia="Arial" w:hAnsi="Arial" w:cs="Arial"/>
          <w:sz w:val="22"/>
          <w:szCs w:val="22"/>
        </w:rPr>
        <w:t>.</w:t>
      </w:r>
    </w:p>
    <w:p w14:paraId="64B7469E" w14:textId="77777777" w:rsidR="002D7A09" w:rsidRDefault="002D7A09">
      <w:pPr>
        <w:ind w:right="-92"/>
        <w:jc w:val="both"/>
        <w:rPr>
          <w:rFonts w:ascii="Arial" w:eastAsia="Arial" w:hAnsi="Arial" w:cs="Arial"/>
          <w:sz w:val="22"/>
          <w:szCs w:val="22"/>
        </w:rPr>
      </w:pPr>
    </w:p>
    <w:p w14:paraId="64B7469F" w14:textId="21D9C72C" w:rsidR="002D7A09" w:rsidRPr="000644E8" w:rsidRDefault="000644E8">
      <w:pPr>
        <w:ind w:right="-92"/>
        <w:jc w:val="both"/>
        <w:rPr>
          <w:rFonts w:ascii="Arial" w:eastAsia="Arial" w:hAnsi="Arial" w:cs="Arial"/>
          <w:sz w:val="22"/>
          <w:szCs w:val="22"/>
        </w:rPr>
      </w:pPr>
      <w:r w:rsidRPr="002B48D7">
        <w:rPr>
          <w:rFonts w:ascii="Arial" w:eastAsia="Arial" w:hAnsi="Arial" w:cs="Arial"/>
          <w:sz w:val="22"/>
          <w:szCs w:val="22"/>
        </w:rPr>
        <w:t>Que mediante radicados 2-2025-75389, 2-2025-75390 del 18 de noviembre de 2025 y 1-2025-79192 del 25 de noviembre de 2025, este Despacho requirió tanto a la parte quejosa como a la sociedad enajenadora, para que acreditaran el cumplimiento de las órdenes de hacer impuesta en la Resolución No. 1218 del 18 de junio de 2021.</w:t>
      </w:r>
      <w:r>
        <w:rPr>
          <w:rFonts w:ascii="Arial" w:eastAsia="Arial" w:hAnsi="Arial" w:cs="Arial"/>
          <w:sz w:val="22"/>
          <w:szCs w:val="22"/>
        </w:rPr>
        <w:t xml:space="preserve"> Ante lo cual guardaron silencio</w:t>
      </w:r>
      <w:r w:rsidR="00332BB4">
        <w:rPr>
          <w:rFonts w:ascii="Arial" w:eastAsia="Arial" w:hAnsi="Arial" w:cs="Arial"/>
          <w:color w:val="FF9900"/>
          <w:sz w:val="22"/>
          <w:szCs w:val="22"/>
        </w:rPr>
        <w:t>.</w:t>
      </w:r>
    </w:p>
    <w:p w14:paraId="664B8B56" w14:textId="3DB5780E" w:rsidR="00833D0C" w:rsidRPr="00833D0C" w:rsidRDefault="00332BB4" w:rsidP="00597E81">
      <w:pPr>
        <w:spacing w:before="240" w:after="240"/>
        <w:ind w:right="-100"/>
        <w:jc w:val="both"/>
        <w:rPr>
          <w:rFonts w:ascii="Arial" w:eastAsia="Arial" w:hAnsi="Arial" w:cs="Arial"/>
          <w:b/>
          <w:bCs/>
          <w:sz w:val="22"/>
          <w:szCs w:val="22"/>
        </w:rPr>
      </w:pPr>
      <w:r>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Pr>
          <w:rFonts w:ascii="Arial" w:eastAsia="Arial" w:hAnsi="Arial" w:cs="Arial"/>
          <w:i/>
          <w:iCs/>
          <w:sz w:val="22"/>
          <w:szCs w:val="22"/>
        </w:rPr>
        <w:t xml:space="preserve">, </w:t>
      </w:r>
      <w:r>
        <w:rPr>
          <w:rFonts w:ascii="Arial" w:eastAsia="Arial" w:hAnsi="Arial" w:cs="Arial"/>
          <w:sz w:val="22"/>
          <w:szCs w:val="22"/>
        </w:rPr>
        <w:t xml:space="preserve">o la culminación de la actuación administrativa de seguimiento, previo el siguiente: </w:t>
      </w:r>
      <w:r>
        <w:rPr>
          <w:rFonts w:ascii="Arial" w:eastAsia="Arial" w:hAnsi="Arial" w:cs="Arial"/>
          <w:b/>
          <w:bCs/>
          <w:sz w:val="22"/>
          <w:szCs w:val="22"/>
        </w:rPr>
        <w:t xml:space="preserve"> </w:t>
      </w:r>
    </w:p>
    <w:p w14:paraId="64B746AF" w14:textId="598D649C" w:rsidR="002D7A09" w:rsidRPr="00597E81" w:rsidRDefault="00332BB4" w:rsidP="00597E81">
      <w:pPr>
        <w:spacing w:before="240" w:after="240"/>
        <w:jc w:val="center"/>
        <w:rPr>
          <w:rFonts w:ascii="Arial" w:eastAsia="Arial" w:hAnsi="Arial" w:cs="Arial"/>
          <w:b/>
          <w:bCs/>
          <w:sz w:val="22"/>
          <w:szCs w:val="22"/>
        </w:rPr>
      </w:pPr>
      <w:r>
        <w:rPr>
          <w:rFonts w:ascii="Arial" w:eastAsia="Arial" w:hAnsi="Arial" w:cs="Arial"/>
          <w:b/>
          <w:bCs/>
          <w:sz w:val="22"/>
          <w:szCs w:val="22"/>
        </w:rPr>
        <w:t xml:space="preserve">ANÁLISIS DEL DESPACHO </w:t>
      </w:r>
    </w:p>
    <w:p w14:paraId="64B746B1" w14:textId="47A53CA8" w:rsidR="002D7A09" w:rsidRPr="00597E81" w:rsidRDefault="00332BB4" w:rsidP="0092089F">
      <w:pPr>
        <w:numPr>
          <w:ilvl w:val="0"/>
          <w:numId w:val="1"/>
        </w:numPr>
        <w:spacing w:before="240" w:after="240"/>
        <w:ind w:left="700"/>
        <w:jc w:val="both"/>
        <w:rPr>
          <w:rFonts w:ascii="Arial" w:eastAsia="Arial" w:hAnsi="Arial" w:cs="Arial"/>
          <w:b/>
          <w:bCs/>
          <w:sz w:val="22"/>
          <w:szCs w:val="22"/>
        </w:rPr>
      </w:pPr>
      <w:r>
        <w:rPr>
          <w:rFonts w:ascii="Arial" w:eastAsia="Arial" w:hAnsi="Arial" w:cs="Arial"/>
          <w:b/>
          <w:bCs/>
          <w:sz w:val="22"/>
          <w:szCs w:val="22"/>
        </w:rPr>
        <w:t xml:space="preserve">FUNDAMENTO LEGAL </w:t>
      </w:r>
    </w:p>
    <w:p w14:paraId="64B746B2" w14:textId="77777777" w:rsidR="002D7A09" w:rsidRDefault="00332BB4">
      <w:pPr>
        <w:spacing w:before="240" w:after="240"/>
        <w:jc w:val="both"/>
        <w:rPr>
          <w:rFonts w:ascii="Arial" w:eastAsia="Arial" w:hAnsi="Arial" w:cs="Arial"/>
          <w:sz w:val="22"/>
          <w:szCs w:val="22"/>
        </w:rPr>
      </w:pPr>
      <w:r>
        <w:rPr>
          <w:rFonts w:ascii="Arial" w:eastAsia="Arial" w:hAnsi="Arial" w:cs="Arial"/>
          <w:sz w:val="22"/>
          <w:szCs w:val="22"/>
        </w:rPr>
        <w:t xml:space="preserve">Debe esta Subdirección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 </w:t>
      </w:r>
    </w:p>
    <w:p w14:paraId="64B746B3" w14:textId="77777777" w:rsidR="002D7A09" w:rsidRPr="00B006FB" w:rsidRDefault="00332BB4">
      <w:pPr>
        <w:spacing w:before="240" w:after="240"/>
        <w:jc w:val="both"/>
        <w:rPr>
          <w:rFonts w:ascii="Arial" w:eastAsia="Arial" w:hAnsi="Arial" w:cs="Arial"/>
          <w:sz w:val="22"/>
          <w:szCs w:val="22"/>
        </w:rPr>
      </w:pPr>
      <w:r>
        <w:rPr>
          <w:rFonts w:ascii="Arial" w:eastAsia="Arial" w:hAnsi="Arial" w:cs="Arial"/>
          <w:sz w:val="22"/>
          <w:szCs w:val="22"/>
        </w:rPr>
        <w:t xml:space="preserve">Bajo este entendido, el parágrafo del artículo 1 del Decreto 572 de 2015 establece que la Subsecretaría de Inspección, Vigilancia y Control de Vivienda de la Secretaría Distrital del Hábitat, adelantará de oficio o a petición de parte las investigaciones administrativas por infracción a las normas que regulan el régimen de construcción y enajenación, </w:t>
      </w:r>
      <w:r w:rsidRPr="00AF0CC3">
        <w:rPr>
          <w:rFonts w:ascii="Arial" w:eastAsia="Arial" w:hAnsi="Arial" w:cs="Arial"/>
          <w:sz w:val="22"/>
          <w:szCs w:val="22"/>
        </w:rPr>
        <w:t xml:space="preserve">autoconstrucción, </w:t>
      </w:r>
      <w:r w:rsidRPr="00B006FB">
        <w:rPr>
          <w:rFonts w:ascii="Arial" w:eastAsia="Arial" w:hAnsi="Arial" w:cs="Arial"/>
          <w:sz w:val="22"/>
          <w:szCs w:val="22"/>
        </w:rPr>
        <w:t>arrendamiento e intermediación de vivienda, por lo que, en ejercicio de estas funciones, esta Entidad procedió a imponer sanción mediante la Resolución No. 1218 del 18 de junio de 2021, “</w:t>
      </w:r>
      <w:r w:rsidRPr="00B006FB">
        <w:rPr>
          <w:rFonts w:ascii="Arial" w:eastAsia="Arial" w:hAnsi="Arial" w:cs="Arial"/>
          <w:i/>
          <w:iCs/>
          <w:sz w:val="22"/>
          <w:szCs w:val="22"/>
        </w:rPr>
        <w:t>Por la cual se impone una sanción y se imparte una orden</w:t>
      </w:r>
      <w:r w:rsidRPr="00B006FB">
        <w:rPr>
          <w:rFonts w:ascii="Arial" w:eastAsia="Arial" w:hAnsi="Arial" w:cs="Arial"/>
          <w:sz w:val="22"/>
          <w:szCs w:val="22"/>
        </w:rPr>
        <w:t xml:space="preserve">”, a la sociedad enajenadora </w:t>
      </w:r>
      <w:r w:rsidRPr="00B006FB">
        <w:rPr>
          <w:rFonts w:ascii="Arial" w:eastAsia="Arial" w:hAnsi="Arial" w:cs="Arial"/>
          <w:sz w:val="22"/>
          <w:szCs w:val="22"/>
          <w:highlight w:val="white"/>
        </w:rPr>
        <w:t>CMS + GMP ASOCIADOS S A S - EN LIQUIDACIÓN JUDICIAL</w:t>
      </w:r>
      <w:r w:rsidRPr="00B006FB">
        <w:rPr>
          <w:rFonts w:ascii="Arial" w:eastAsia="Arial" w:hAnsi="Arial" w:cs="Arial"/>
          <w:sz w:val="22"/>
          <w:szCs w:val="22"/>
        </w:rPr>
        <w:t xml:space="preserve">, consistente en multa y orden de hacer. </w:t>
      </w:r>
    </w:p>
    <w:p w14:paraId="64B746B4" w14:textId="77777777" w:rsidR="002D7A09" w:rsidRDefault="00332BB4">
      <w:pPr>
        <w:spacing w:before="240" w:after="240"/>
        <w:jc w:val="both"/>
        <w:rPr>
          <w:rFonts w:ascii="Arial" w:eastAsia="Arial" w:hAnsi="Arial" w:cs="Arial"/>
          <w:sz w:val="22"/>
          <w:szCs w:val="22"/>
        </w:rPr>
      </w:pPr>
      <w:r w:rsidRPr="00AF0CC3">
        <w:rPr>
          <w:rFonts w:ascii="Arial" w:eastAsia="Arial" w:hAnsi="Arial" w:cs="Arial"/>
          <w:sz w:val="22"/>
          <w:szCs w:val="22"/>
        </w:rPr>
        <w:lastRenderedPageBreak/>
        <w:t xml:space="preserve">Ahora bien, señala el artículo 16 del Decreto Distrital 572 de 2015 que, una vez ejecutoriada la actuación que imponga una orden a los enajenadores responsables de un proyecto de vivienda, y superado el término dispuesto para su cumplimiento, se adelantará el SEGUIMIENTO A LA ORDEN para corroborar </w:t>
      </w:r>
      <w:r>
        <w:rPr>
          <w:rFonts w:ascii="Arial" w:eastAsia="Arial" w:hAnsi="Arial" w:cs="Arial"/>
          <w:sz w:val="22"/>
          <w:szCs w:val="22"/>
        </w:rPr>
        <w:t xml:space="preserve">el cumplimiento del acto administrativo que la impuso. </w:t>
      </w:r>
    </w:p>
    <w:p w14:paraId="64B746B5" w14:textId="77777777" w:rsidR="002D7A09" w:rsidRDefault="00332BB4">
      <w:pPr>
        <w:spacing w:before="240" w:after="240"/>
        <w:jc w:val="both"/>
        <w:rPr>
          <w:rFonts w:ascii="Arial" w:eastAsia="Arial" w:hAnsi="Arial" w:cs="Arial"/>
          <w:sz w:val="22"/>
          <w:szCs w:val="22"/>
        </w:rPr>
      </w:pPr>
      <w:r>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 a quinientos mil pesos ($500.000) M/cte., a las personas o entidades que incumplan las órdenes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400C4F20" w14:textId="1CA104B9" w:rsidR="007133B4" w:rsidRDefault="007133B4">
      <w:pPr>
        <w:spacing w:before="240" w:after="240"/>
        <w:jc w:val="both"/>
        <w:rPr>
          <w:rFonts w:ascii="Arial" w:eastAsia="Arial" w:hAnsi="Arial" w:cs="Arial"/>
          <w:sz w:val="22"/>
          <w:szCs w:val="22"/>
        </w:rPr>
      </w:pPr>
      <w:r w:rsidRPr="007133B4">
        <w:rPr>
          <w:rFonts w:ascii="Arial" w:eastAsia="Arial" w:hAnsi="Arial" w:cs="Arial"/>
          <w:sz w:val="22"/>
          <w:szCs w:val="22"/>
        </w:rPr>
        <w:t>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w:t>
      </w:r>
      <w:r>
        <w:rPr>
          <w:rFonts w:ascii="Arial" w:eastAsia="Arial" w:hAnsi="Arial" w:cs="Arial"/>
          <w:sz w:val="22"/>
          <w:szCs w:val="22"/>
        </w:rPr>
        <w:t>.</w:t>
      </w:r>
    </w:p>
    <w:p w14:paraId="2D8DE505" w14:textId="2CCE7121" w:rsidR="0092089F" w:rsidRDefault="0092089F">
      <w:pPr>
        <w:spacing w:before="240" w:after="240"/>
        <w:jc w:val="both"/>
        <w:rPr>
          <w:rFonts w:ascii="Arial" w:eastAsia="Arial" w:hAnsi="Arial" w:cs="Arial"/>
          <w:sz w:val="22"/>
          <w:szCs w:val="22"/>
        </w:rPr>
      </w:pPr>
      <w:r w:rsidRPr="0092089F">
        <w:rPr>
          <w:rFonts w:ascii="Arial" w:eastAsia="Arial" w:hAnsi="Arial" w:cs="Arial"/>
          <w:sz w:val="22"/>
          <w:szCs w:val="22"/>
        </w:rPr>
        <w:t>En concordancia con lo expresado, viendo que de las actuaciones adelantadas no se desprende causal de nulidad alguna en el procedimiento, procede este Despacho a realizar el estudio de los elementos probatorios recaudados por esta Dirección, sobre los hechos objeto de la orden hacer contenida en la Resolución No. 1218 del 18 de junio de 2021, “</w:t>
      </w:r>
      <w:r w:rsidRPr="0092089F">
        <w:rPr>
          <w:rFonts w:ascii="Arial" w:eastAsia="Arial" w:hAnsi="Arial" w:cs="Arial"/>
          <w:i/>
          <w:iCs/>
          <w:sz w:val="22"/>
          <w:szCs w:val="22"/>
        </w:rPr>
        <w:t>Por la cual se impone una sanción y se imparte una orden</w:t>
      </w:r>
      <w:r w:rsidRPr="0092089F">
        <w:rPr>
          <w:rFonts w:ascii="Arial" w:eastAsia="Arial" w:hAnsi="Arial" w:cs="Arial"/>
          <w:sz w:val="22"/>
          <w:szCs w:val="22"/>
        </w:rPr>
        <w:t>”, con el fin de determinar si existe mérito para imposición de nuevas multas o si se ha dado cumplimiento a la orden de hace</w:t>
      </w:r>
      <w:r>
        <w:rPr>
          <w:rFonts w:ascii="Arial" w:eastAsia="Arial" w:hAnsi="Arial" w:cs="Arial"/>
          <w:sz w:val="22"/>
          <w:szCs w:val="22"/>
        </w:rPr>
        <w:t>r</w:t>
      </w:r>
      <w:r w:rsidRPr="0092089F">
        <w:rPr>
          <w:rFonts w:ascii="Arial" w:eastAsia="Arial" w:hAnsi="Arial" w:cs="Arial"/>
          <w:sz w:val="22"/>
          <w:szCs w:val="22"/>
        </w:rPr>
        <w:t>.</w:t>
      </w:r>
    </w:p>
    <w:p w14:paraId="769A649D" w14:textId="043656D8" w:rsidR="000D4E3A" w:rsidRDefault="0092089F" w:rsidP="000D4E3A">
      <w:pPr>
        <w:pStyle w:val="Prrafodelista"/>
        <w:numPr>
          <w:ilvl w:val="0"/>
          <w:numId w:val="2"/>
        </w:numPr>
        <w:spacing w:before="240" w:after="240"/>
        <w:jc w:val="both"/>
        <w:rPr>
          <w:rFonts w:ascii="Arial" w:eastAsia="Arial" w:hAnsi="Arial" w:cs="Arial"/>
          <w:color w:val="000000"/>
          <w:sz w:val="22"/>
          <w:szCs w:val="22"/>
        </w:rPr>
      </w:pPr>
      <w:r w:rsidRPr="0092089F">
        <w:rPr>
          <w:rFonts w:ascii="Arial" w:eastAsia="Arial" w:hAnsi="Arial" w:cs="Arial"/>
          <w:b/>
          <w:bCs/>
          <w:sz w:val="22"/>
          <w:szCs w:val="22"/>
        </w:rPr>
        <w:t>ANÁLISIS PROBATORIO</w:t>
      </w:r>
    </w:p>
    <w:p w14:paraId="5BC13178" w14:textId="77247447" w:rsidR="000D4E3A" w:rsidRDefault="00000978">
      <w:pPr>
        <w:pBdr>
          <w:top w:val="nil"/>
          <w:left w:val="nil"/>
          <w:bottom w:val="nil"/>
          <w:right w:val="nil"/>
          <w:between w:val="nil"/>
        </w:pBdr>
        <w:jc w:val="both"/>
        <w:rPr>
          <w:rFonts w:ascii="Arial" w:eastAsia="Arial" w:hAnsi="Arial" w:cs="Arial"/>
          <w:sz w:val="22"/>
          <w:szCs w:val="22"/>
        </w:rPr>
      </w:pPr>
      <w:r w:rsidRPr="00000978">
        <w:rPr>
          <w:rFonts w:ascii="Arial" w:eastAsia="Arial" w:hAnsi="Arial" w:cs="Arial"/>
          <w:sz w:val="22"/>
          <w:szCs w:val="22"/>
          <w:lang w:val="es-CO"/>
        </w:rPr>
        <w:t xml:space="preserve">Como se ha establecido, </w:t>
      </w:r>
      <w:r w:rsidR="00304A4A">
        <w:rPr>
          <w:rFonts w:ascii="Arial" w:eastAsia="Arial" w:hAnsi="Arial" w:cs="Arial"/>
          <w:sz w:val="22"/>
          <w:szCs w:val="22"/>
          <w:lang w:val="es-CO"/>
        </w:rPr>
        <w:t xml:space="preserve">dentro del Certificado de Existencia y Representación Legal </w:t>
      </w:r>
      <w:r w:rsidR="007856AF">
        <w:rPr>
          <w:rFonts w:ascii="Arial" w:eastAsia="Arial" w:hAnsi="Arial" w:cs="Arial"/>
          <w:sz w:val="22"/>
          <w:szCs w:val="22"/>
          <w:lang w:val="es-CO"/>
        </w:rPr>
        <w:t xml:space="preserve">del 08 de </w:t>
      </w:r>
      <w:r w:rsidR="007856AF" w:rsidRPr="00B006FB">
        <w:rPr>
          <w:rFonts w:ascii="Arial" w:eastAsia="Arial" w:hAnsi="Arial" w:cs="Arial"/>
          <w:sz w:val="22"/>
          <w:szCs w:val="22"/>
          <w:lang w:val="es-CO"/>
        </w:rPr>
        <w:t>enero de 2025</w:t>
      </w:r>
      <w:r w:rsidR="00820C95" w:rsidRPr="00B006FB">
        <w:rPr>
          <w:rFonts w:ascii="Arial" w:eastAsia="Arial" w:hAnsi="Arial" w:cs="Arial"/>
          <w:sz w:val="22"/>
          <w:szCs w:val="22"/>
          <w:lang w:val="es-CO"/>
        </w:rPr>
        <w:t xml:space="preserve"> del Registro Único </w:t>
      </w:r>
      <w:r w:rsidR="005907CF" w:rsidRPr="00B006FB">
        <w:rPr>
          <w:rFonts w:ascii="Arial" w:eastAsia="Arial" w:hAnsi="Arial" w:cs="Arial"/>
          <w:sz w:val="22"/>
          <w:szCs w:val="22"/>
          <w:lang w:val="es-CO"/>
        </w:rPr>
        <w:t>empresarial y Social - RUES</w:t>
      </w:r>
      <w:r w:rsidR="007856AF" w:rsidRPr="00B006FB">
        <w:rPr>
          <w:rFonts w:ascii="Arial" w:eastAsia="Arial" w:hAnsi="Arial" w:cs="Arial"/>
          <w:sz w:val="22"/>
          <w:szCs w:val="22"/>
          <w:lang w:val="es-CO"/>
        </w:rPr>
        <w:t xml:space="preserve">, la </w:t>
      </w:r>
      <w:r w:rsidR="00304A4A" w:rsidRPr="00B006FB">
        <w:rPr>
          <w:rFonts w:ascii="Arial" w:eastAsia="Arial" w:hAnsi="Arial" w:cs="Arial"/>
          <w:sz w:val="22"/>
          <w:szCs w:val="22"/>
          <w:lang w:val="es-CO"/>
        </w:rPr>
        <w:t xml:space="preserve">sociedad enajenadora </w:t>
      </w:r>
      <w:r w:rsidR="00304A4A" w:rsidRPr="00B006FB">
        <w:rPr>
          <w:rFonts w:ascii="Arial" w:eastAsia="Arial" w:hAnsi="Arial" w:cs="Arial"/>
          <w:sz w:val="22"/>
          <w:szCs w:val="22"/>
          <w:highlight w:val="white"/>
        </w:rPr>
        <w:t>CMS + GMP ASOCIADOS S A S - EN LIQUIDACIÓN JUDICIAL</w:t>
      </w:r>
      <w:r w:rsidR="00823EBA" w:rsidRPr="00B006FB">
        <w:rPr>
          <w:rFonts w:ascii="Arial" w:eastAsia="Arial" w:hAnsi="Arial" w:cs="Arial"/>
          <w:sz w:val="22"/>
          <w:szCs w:val="22"/>
          <w:lang w:val="es-CO"/>
        </w:rPr>
        <w:t xml:space="preserve">, </w:t>
      </w:r>
      <w:r w:rsidR="007856AF" w:rsidRPr="00B006FB">
        <w:rPr>
          <w:rFonts w:ascii="Arial" w:eastAsia="Arial" w:hAnsi="Arial" w:cs="Arial"/>
          <w:sz w:val="22"/>
          <w:szCs w:val="22"/>
          <w:lang w:val="es-CO"/>
        </w:rPr>
        <w:t xml:space="preserve">identificada con </w:t>
      </w:r>
      <w:r w:rsidR="00265D9C" w:rsidRPr="00B006FB">
        <w:rPr>
          <w:rFonts w:ascii="Arial" w:eastAsia="Arial" w:hAnsi="Arial" w:cs="Arial"/>
          <w:sz w:val="22"/>
          <w:szCs w:val="22"/>
          <w:lang w:val="es-CO"/>
        </w:rPr>
        <w:t xml:space="preserve">NIT. </w:t>
      </w:r>
      <w:r w:rsidR="00265D9C" w:rsidRPr="00B006FB">
        <w:rPr>
          <w:rFonts w:ascii="Arial" w:eastAsia="Arial" w:hAnsi="Arial" w:cs="Arial"/>
          <w:sz w:val="22"/>
          <w:szCs w:val="22"/>
        </w:rPr>
        <w:t>900.193.192-8</w:t>
      </w:r>
      <w:r w:rsidR="00B82D89" w:rsidRPr="00B006FB">
        <w:rPr>
          <w:rFonts w:ascii="Arial" w:eastAsia="Arial" w:hAnsi="Arial" w:cs="Arial"/>
          <w:sz w:val="22"/>
          <w:szCs w:val="22"/>
        </w:rPr>
        <w:t xml:space="preserve"> y Matrícula No. 01761105</w:t>
      </w:r>
      <w:r w:rsidR="00820C95" w:rsidRPr="00B006FB">
        <w:rPr>
          <w:rFonts w:ascii="Arial" w:eastAsia="Arial" w:hAnsi="Arial" w:cs="Arial"/>
          <w:sz w:val="22"/>
          <w:szCs w:val="22"/>
        </w:rPr>
        <w:t>, se encuentra</w:t>
      </w:r>
      <w:r w:rsidR="00820C95" w:rsidRPr="00820C95">
        <w:rPr>
          <w:rFonts w:ascii="Arial" w:eastAsia="Arial" w:hAnsi="Arial" w:cs="Arial"/>
          <w:sz w:val="22"/>
          <w:szCs w:val="22"/>
        </w:rPr>
        <w:t xml:space="preserve"> liquidada judicialmente</w:t>
      </w:r>
      <w:r w:rsidR="00C54ECF">
        <w:rPr>
          <w:rFonts w:ascii="Arial" w:eastAsia="Arial" w:hAnsi="Arial" w:cs="Arial"/>
          <w:sz w:val="22"/>
          <w:szCs w:val="22"/>
        </w:rPr>
        <w:t xml:space="preserve">, señalando lo siguiente: </w:t>
      </w:r>
    </w:p>
    <w:p w14:paraId="7644131F" w14:textId="77777777" w:rsidR="00C54ECF" w:rsidRDefault="00C54ECF">
      <w:pPr>
        <w:pBdr>
          <w:top w:val="nil"/>
          <w:left w:val="nil"/>
          <w:bottom w:val="nil"/>
          <w:right w:val="nil"/>
          <w:between w:val="nil"/>
        </w:pBdr>
        <w:jc w:val="both"/>
        <w:rPr>
          <w:rFonts w:ascii="Arial" w:eastAsia="Arial" w:hAnsi="Arial" w:cs="Arial"/>
          <w:sz w:val="22"/>
          <w:szCs w:val="22"/>
        </w:rPr>
      </w:pPr>
    </w:p>
    <w:p w14:paraId="51DBEE82" w14:textId="77777777" w:rsidR="00995A5C" w:rsidRPr="00995A5C" w:rsidRDefault="00995A5C" w:rsidP="00995A5C">
      <w:pPr>
        <w:ind w:left="340" w:right="340"/>
        <w:jc w:val="center"/>
        <w:rPr>
          <w:rFonts w:ascii="Arial" w:hAnsi="Arial" w:cs="Arial"/>
          <w:i/>
          <w:iCs/>
          <w:sz w:val="22"/>
          <w:szCs w:val="22"/>
        </w:rPr>
      </w:pPr>
      <w:r w:rsidRPr="00995A5C">
        <w:rPr>
          <w:rFonts w:ascii="Arial" w:hAnsi="Arial" w:cs="Arial"/>
          <w:i/>
          <w:iCs/>
          <w:sz w:val="22"/>
          <w:szCs w:val="22"/>
        </w:rPr>
        <w:t>PROCESO DE REORGANIZACIÓN EMPRESARIAL, ADJUDICACIÓN O LIQUIDACIÓN JUDICIAL</w:t>
      </w:r>
    </w:p>
    <w:p w14:paraId="7D59C092" w14:textId="77777777" w:rsidR="00995A5C" w:rsidRPr="00995A5C" w:rsidRDefault="00995A5C" w:rsidP="00995A5C">
      <w:pPr>
        <w:jc w:val="both"/>
        <w:rPr>
          <w:rFonts w:ascii="Arial" w:hAnsi="Arial" w:cs="Arial"/>
          <w:i/>
          <w:iCs/>
          <w:sz w:val="22"/>
          <w:szCs w:val="22"/>
        </w:rPr>
      </w:pPr>
    </w:p>
    <w:p w14:paraId="773DAEF3" w14:textId="77777777"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“Que en virtud de la Ley 1116 de 2006, mediante Auto No. 400-012048 del 4 de agosto de 2017, inscrito el 29 de agosto de 2017 bajo el No. 00003469 del libro XIX, la Superintendencia de Sociedades decretó la admisión al proceso de reorganización de la sociedad de la referencia. Y aviso.</w:t>
      </w:r>
    </w:p>
    <w:p w14:paraId="3E35D8D6" w14:textId="77777777" w:rsidR="00995A5C" w:rsidRDefault="00995A5C" w:rsidP="00995A5C">
      <w:pPr>
        <w:ind w:left="340" w:right="340"/>
        <w:jc w:val="both"/>
        <w:rPr>
          <w:rFonts w:ascii="Arial" w:hAnsi="Arial" w:cs="Arial"/>
          <w:i/>
          <w:iCs/>
          <w:sz w:val="22"/>
          <w:szCs w:val="22"/>
        </w:rPr>
      </w:pPr>
    </w:p>
    <w:p w14:paraId="146DA1AE" w14:textId="26D7C1E3"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Que en virtud de la Ley 1116 de 2006, mediante Auto No. 400-012048 del 4 de agosto de 2017, inscrito el 29 de agosto de 2017 bajo el No. 00003469 del libro XIX, la Superintendencia de Sociedades, nombró promotor dentro del trámite de reorganización empresarial de la sociedad de la referencia a:</w:t>
      </w:r>
    </w:p>
    <w:p w14:paraId="4CE05E5C" w14:textId="61C0242D"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Nombre: Camilo Manrique Santamaría</w:t>
      </w:r>
    </w:p>
    <w:p w14:paraId="5690DA91" w14:textId="77777777"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Documento de identificación: C.C. 3226636</w:t>
      </w:r>
    </w:p>
    <w:p w14:paraId="0E1DE324" w14:textId="77777777"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Dirección del promotor: carrera 13 n. 92 -57</w:t>
      </w:r>
    </w:p>
    <w:p w14:paraId="2B9F9639" w14:textId="77777777"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Teléfono(s) y/o fax del promotor: 6169440 Celular: 3508601927</w:t>
      </w:r>
    </w:p>
    <w:p w14:paraId="2452E0C0" w14:textId="77777777"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Correo electrónico: promotor@cmsgmp.com</w:t>
      </w:r>
    </w:p>
    <w:p w14:paraId="676B2D69" w14:textId="77777777" w:rsidR="00995A5C" w:rsidRDefault="00995A5C" w:rsidP="00995A5C">
      <w:pPr>
        <w:ind w:left="340" w:right="340"/>
        <w:jc w:val="both"/>
        <w:rPr>
          <w:rFonts w:ascii="Arial" w:hAnsi="Arial" w:cs="Arial"/>
          <w:i/>
          <w:iCs/>
          <w:sz w:val="22"/>
          <w:szCs w:val="22"/>
        </w:rPr>
      </w:pPr>
    </w:p>
    <w:p w14:paraId="1A84E9A3" w14:textId="32CC6C80"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Mediante Auto No. 400-009957 del 22 de septiembre de 2020 la Superintendencia de Sociedades en virtud de la Ley 1116 de 2006 decretó la terminación del proceso de reorganización y en consecuencia la apertura del proceso de liquidación judicial en la sociedad de la referencia, lo cual fue inscrito en esta Cámara de Comercio el 16 de octubre de 2020 con el No. 00004921 del libro XIX.</w:t>
      </w:r>
    </w:p>
    <w:p w14:paraId="1A3FDDA4" w14:textId="77777777" w:rsidR="00995A5C" w:rsidRDefault="00995A5C" w:rsidP="00995A5C">
      <w:pPr>
        <w:ind w:left="340" w:right="340"/>
        <w:jc w:val="both"/>
        <w:rPr>
          <w:rFonts w:ascii="Arial" w:hAnsi="Arial" w:cs="Arial"/>
          <w:i/>
          <w:iCs/>
          <w:sz w:val="22"/>
          <w:szCs w:val="22"/>
        </w:rPr>
      </w:pPr>
    </w:p>
    <w:p w14:paraId="7803DB6B" w14:textId="15B9F6DB" w:rsidR="00995A5C"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Mediante Aviso No. 415-000136 del 07 de octubre de 2020 la Superintendencia de Sociedades en virtud de la Ley 1116 de 2006 ordenó inscribir el aviso por medio del cual se informó sobre la expedición de la providencia que ordenó la terminación del proceso de reorganización y simultáneamente decretó el inicio del proceso de liquidación judicial en la sociedad de la referencia, lo cual fue inscrito en esta Cámara de Comercio el 16 de octubre de 2020 con el No. 00004921 del libro XIX.</w:t>
      </w:r>
    </w:p>
    <w:p w14:paraId="2984ABD0" w14:textId="77777777" w:rsidR="00995A5C" w:rsidRDefault="00995A5C" w:rsidP="00995A5C">
      <w:pPr>
        <w:ind w:left="340" w:right="340"/>
        <w:jc w:val="both"/>
        <w:rPr>
          <w:rFonts w:ascii="Arial" w:hAnsi="Arial" w:cs="Arial"/>
          <w:i/>
          <w:iCs/>
          <w:sz w:val="22"/>
          <w:szCs w:val="22"/>
        </w:rPr>
      </w:pPr>
    </w:p>
    <w:p w14:paraId="593D65E0" w14:textId="1F26AB41" w:rsidR="00C54ECF" w:rsidRPr="00995A5C" w:rsidRDefault="00995A5C" w:rsidP="00995A5C">
      <w:pPr>
        <w:ind w:left="340" w:right="340"/>
        <w:jc w:val="both"/>
        <w:rPr>
          <w:rFonts w:ascii="Arial" w:hAnsi="Arial" w:cs="Arial"/>
          <w:i/>
          <w:iCs/>
          <w:sz w:val="22"/>
          <w:szCs w:val="22"/>
        </w:rPr>
      </w:pPr>
      <w:r w:rsidRPr="00995A5C">
        <w:rPr>
          <w:rFonts w:ascii="Arial" w:hAnsi="Arial" w:cs="Arial"/>
          <w:i/>
          <w:iCs/>
          <w:sz w:val="22"/>
          <w:szCs w:val="22"/>
        </w:rPr>
        <w:t>Mediante Auto No. 427-302971 del 21 de noviembre de 2024, la Superintendencia de Sociedades, inscrito el 8 de Enero de 2025 con el No. 00008489 del libro XIX, en virtud de la Ley 1116 de 2006, resuelve aprobar la rendición final de cuentas presentada por el liquidador y declarar terminado el proceso liquidatario judicial de los bienes que conformaban el patrimonio de la sociedad de la referencia y archivo del expediente del proceso liquidatario.”</w:t>
      </w:r>
    </w:p>
    <w:p w14:paraId="457A7A99" w14:textId="77777777" w:rsidR="000D4E3A" w:rsidRDefault="000D4E3A">
      <w:pPr>
        <w:pBdr>
          <w:top w:val="nil"/>
          <w:left w:val="nil"/>
          <w:bottom w:val="nil"/>
          <w:right w:val="nil"/>
          <w:between w:val="nil"/>
        </w:pBdr>
        <w:jc w:val="both"/>
        <w:rPr>
          <w:rFonts w:ascii="Arial" w:eastAsia="Arial" w:hAnsi="Arial" w:cs="Arial"/>
          <w:sz w:val="22"/>
          <w:szCs w:val="22"/>
        </w:rPr>
      </w:pPr>
    </w:p>
    <w:p w14:paraId="438F62D3"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Conforme lo anterior, esta Subdirección estima conveniente precisar que la liquidación de una sociedad mercantil tiene como efecto principal la pérdida de la capacidad para ser sujeto de derechos y obligaciones que ostentan las personas jurídicas, conforme lo define el artículo 633 del Código Civil en los siguientes términos:</w:t>
      </w:r>
    </w:p>
    <w:p w14:paraId="6ECF14D0"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 </w:t>
      </w:r>
    </w:p>
    <w:p w14:paraId="195E5970" w14:textId="77777777" w:rsidR="00F15EEF" w:rsidRPr="00DB4DEB" w:rsidRDefault="00F15EEF" w:rsidP="00DB4DEB">
      <w:pPr>
        <w:pBdr>
          <w:top w:val="nil"/>
          <w:left w:val="nil"/>
          <w:bottom w:val="nil"/>
          <w:right w:val="nil"/>
          <w:between w:val="nil"/>
        </w:pBdr>
        <w:ind w:left="680" w:right="680"/>
        <w:jc w:val="both"/>
        <w:rPr>
          <w:rFonts w:ascii="Arial" w:eastAsia="Arial" w:hAnsi="Arial" w:cs="Arial"/>
          <w:i/>
          <w:iCs/>
          <w:sz w:val="22"/>
          <w:szCs w:val="22"/>
          <w:lang w:val="es-CO"/>
        </w:rPr>
      </w:pPr>
      <w:r w:rsidRPr="00DB4DEB">
        <w:rPr>
          <w:rFonts w:ascii="Arial" w:eastAsia="Arial" w:hAnsi="Arial" w:cs="Arial"/>
          <w:i/>
          <w:iCs/>
          <w:sz w:val="22"/>
          <w:szCs w:val="22"/>
          <w:lang w:val="es-CO"/>
        </w:rPr>
        <w:t>“ARTICULO 633. DEFINICION DE PERSONA JURIDICA. Se llama persona jurídica, una persona ficticia, capaz de ejercer derechos y contraer obligaciones civiles, y de ser representada judicial y extrajudicialmente.”</w:t>
      </w:r>
    </w:p>
    <w:p w14:paraId="5399EA7D"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 </w:t>
      </w:r>
    </w:p>
    <w:p w14:paraId="52C59E37"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Por su parte, conviene traer a colación el contenido del artículo 222 del Código de comercio, norma que respecto a la liquidación de las sociedades establece lo siguiente: </w:t>
      </w:r>
    </w:p>
    <w:p w14:paraId="025397E6"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 </w:t>
      </w:r>
    </w:p>
    <w:p w14:paraId="5BF705F4" w14:textId="77777777" w:rsidR="00F15EEF" w:rsidRPr="00DB4DEB" w:rsidRDefault="00F15EEF" w:rsidP="00DB4DEB">
      <w:pPr>
        <w:pBdr>
          <w:top w:val="nil"/>
          <w:left w:val="nil"/>
          <w:bottom w:val="nil"/>
          <w:right w:val="nil"/>
          <w:between w:val="nil"/>
        </w:pBdr>
        <w:ind w:left="680" w:right="680"/>
        <w:jc w:val="both"/>
        <w:rPr>
          <w:rFonts w:ascii="Arial" w:eastAsia="Arial" w:hAnsi="Arial" w:cs="Arial"/>
          <w:i/>
          <w:iCs/>
          <w:sz w:val="22"/>
          <w:szCs w:val="22"/>
          <w:lang w:val="es-CO"/>
        </w:rPr>
      </w:pPr>
      <w:r w:rsidRPr="00DB4DEB">
        <w:rPr>
          <w:rFonts w:ascii="Arial" w:eastAsia="Arial" w:hAnsi="Arial" w:cs="Arial"/>
          <w:i/>
          <w:iCs/>
          <w:sz w:val="22"/>
          <w:szCs w:val="22"/>
          <w:lang w:val="es-CO"/>
        </w:rPr>
        <w:lastRenderedPageBreak/>
        <w:t>“ARTÍCULO 222. EFECTOS POSTERIORES A LA LIQUIDACIÓN DE LA SOCIEDAD. Disuelta la sociedad se procederá de inmediato a su liquidación. En consecuencia, no podrá iniciar nuevas operaciones en desarrollo de su objeto y conservará su capacidad jurídica únicamente para los actos necesarios a la inmediata liquidación. (…)”</w:t>
      </w:r>
    </w:p>
    <w:p w14:paraId="2EAC52B6"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 </w:t>
      </w:r>
    </w:p>
    <w:p w14:paraId="23EDDE45"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De la norma trascrita, se deduce que la sociedad presenta dos momentos determinados en la ley, el primero acontece desde la constitución hasta el periodo en que llega al estado de disolución; a su vez, el segundo ocurre a partir de la disolución de la sociedad, hasta la liquidación de su patrimonio y consecuente extinción de la persona jurídica como sujeto capaz de ejercer derechos y contraer obligaciones, evento que sólo sucede con la inscripción en el registro mercantil del acta contentiva de la cuenta final de liquidación, momento a partir del cual la sociedad desaparece del tráfico mercantil y jurídico.</w:t>
      </w:r>
    </w:p>
    <w:p w14:paraId="7774C1D9"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 </w:t>
      </w:r>
    </w:p>
    <w:p w14:paraId="553D984B" w14:textId="50F226A6"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En consonancia con lo anterior, mediante Concepto 220-200886 de 12 de diciembre de 2015, la Superintendencia de Sociedades manifestó lo siguiente</w:t>
      </w:r>
      <w:bookmarkStart w:id="6" w:name="x__ftnref1"/>
      <w:r w:rsidR="00FA7ADB" w:rsidRPr="00FA7ADB">
        <w:rPr>
          <w:rFonts w:ascii="Aptos" w:hAnsi="Aptos"/>
          <w:color w:val="000000"/>
          <w:u w:val="single"/>
          <w:shd w:val="clear" w:color="auto" w:fill="FFFFFF"/>
        </w:rPr>
        <w:t xml:space="preserve"> </w:t>
      </w:r>
      <w:bookmarkEnd w:id="6"/>
      <w:r w:rsidR="008B6DDE" w:rsidRPr="008B6DDE">
        <w:rPr>
          <w:rFonts w:ascii="Arial" w:eastAsia="Arial" w:hAnsi="Arial" w:cs="Arial"/>
          <w:sz w:val="22"/>
          <w:szCs w:val="22"/>
          <w:u w:val="single"/>
        </w:rPr>
        <w:fldChar w:fldCharType="begin"/>
      </w:r>
      <w:r w:rsidR="008B6DDE" w:rsidRPr="008B6DDE">
        <w:rPr>
          <w:rFonts w:ascii="Arial" w:eastAsia="Arial" w:hAnsi="Arial" w:cs="Arial"/>
          <w:sz w:val="22"/>
          <w:szCs w:val="22"/>
          <w:u w:val="single"/>
        </w:rPr>
        <w:instrText>HYPERLINK "https://outlook.office.com/mail/" \l "x__ftnref1" \o "#x__ftnref1"</w:instrText>
      </w:r>
      <w:r w:rsidR="008B6DDE" w:rsidRPr="008B6DDE">
        <w:rPr>
          <w:rFonts w:ascii="Arial" w:eastAsia="Arial" w:hAnsi="Arial" w:cs="Arial"/>
          <w:sz w:val="22"/>
          <w:szCs w:val="22"/>
          <w:u w:val="single"/>
        </w:rPr>
      </w:r>
      <w:r w:rsidR="008B6DDE" w:rsidRPr="008B6DDE">
        <w:rPr>
          <w:rFonts w:ascii="Arial" w:eastAsia="Arial" w:hAnsi="Arial" w:cs="Arial"/>
          <w:sz w:val="22"/>
          <w:szCs w:val="22"/>
          <w:u w:val="single"/>
        </w:rPr>
        <w:fldChar w:fldCharType="separate"/>
      </w:r>
      <w:r w:rsidR="008B6DDE" w:rsidRPr="008B6DDE">
        <w:rPr>
          <w:rStyle w:val="Hipervnculo"/>
          <w:rFonts w:ascii="Arial" w:eastAsia="Arial" w:hAnsi="Arial" w:cs="Arial"/>
          <w:sz w:val="22"/>
          <w:szCs w:val="22"/>
        </w:rPr>
        <w:t>[1]</w:t>
      </w:r>
      <w:r w:rsidR="008B6DDE" w:rsidRPr="008B6DDE">
        <w:rPr>
          <w:rFonts w:ascii="Arial" w:eastAsia="Arial" w:hAnsi="Arial" w:cs="Arial"/>
          <w:sz w:val="22"/>
          <w:szCs w:val="22"/>
          <w:u w:val="single"/>
        </w:rPr>
        <w:fldChar w:fldCharType="end"/>
      </w:r>
      <w:r w:rsidR="00FA7ADB" w:rsidRPr="00FA7ADB">
        <w:rPr>
          <w:rFonts w:ascii="Arial" w:eastAsia="Arial" w:hAnsi="Arial" w:cs="Arial"/>
          <w:sz w:val="22"/>
          <w:szCs w:val="22"/>
        </w:rPr>
        <w:t>:</w:t>
      </w:r>
    </w:p>
    <w:p w14:paraId="370855D4"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 </w:t>
      </w:r>
    </w:p>
    <w:p w14:paraId="55D18506" w14:textId="77777777" w:rsidR="00F15EEF" w:rsidRPr="00FA7ADB" w:rsidRDefault="00F15EEF" w:rsidP="00DB4DEB">
      <w:pPr>
        <w:pBdr>
          <w:top w:val="nil"/>
          <w:left w:val="nil"/>
          <w:bottom w:val="nil"/>
          <w:right w:val="nil"/>
          <w:between w:val="nil"/>
        </w:pBdr>
        <w:ind w:left="680" w:right="680"/>
        <w:jc w:val="both"/>
        <w:rPr>
          <w:rFonts w:ascii="Arial" w:eastAsia="Arial" w:hAnsi="Arial" w:cs="Arial"/>
          <w:i/>
          <w:iCs/>
          <w:sz w:val="22"/>
          <w:szCs w:val="22"/>
          <w:lang w:val="es-CO"/>
        </w:rPr>
      </w:pPr>
      <w:r w:rsidRPr="00FA7ADB">
        <w:rPr>
          <w:rFonts w:ascii="Arial" w:eastAsia="Arial" w:hAnsi="Arial" w:cs="Arial"/>
          <w:i/>
          <w:iCs/>
          <w:sz w:val="22"/>
          <w:szCs w:val="22"/>
          <w:lang w:val="es-CO"/>
        </w:rPr>
        <w:t>“…comoquiera que su solicitud se dirige a determinar si la cancelación de la matrícula mercantil por sí misma conduce a que la sociedad cuya matrícula mercantil fue cancelada pierda capacidad jurídica para contratar, la respuesta en concepto de esta Oficina sería afirmativa, en el entendido que para el caso de las sociedades comerciales la cancelación definitiva de la matrícula mercantil sólo procede cuando previamente se ha inscrito la cuenta final de liquidación, momento a partir del cual la sociedad pierde la calidad de comerciante y como consecuencia de la liquidación, desaparece como persona jurídica para todos los efectos a que haya lugar.”</w:t>
      </w:r>
    </w:p>
    <w:p w14:paraId="61E91D4E"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 </w:t>
      </w:r>
    </w:p>
    <w:p w14:paraId="47162947" w14:textId="77777777" w:rsidR="00F15EEF"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Sobre la extinción de la personalidad o capacidad jurídica de las sociedades comerciales, el Consejo de Estado ha señalado lo siguiente:</w:t>
      </w:r>
    </w:p>
    <w:p w14:paraId="381B65CA" w14:textId="77777777" w:rsidR="00DB4DEB" w:rsidRPr="00463AF0" w:rsidRDefault="00DB4DEB" w:rsidP="00F15EEF">
      <w:pPr>
        <w:pBdr>
          <w:top w:val="nil"/>
          <w:left w:val="nil"/>
          <w:bottom w:val="nil"/>
          <w:right w:val="nil"/>
          <w:between w:val="nil"/>
        </w:pBdr>
        <w:jc w:val="both"/>
        <w:rPr>
          <w:rFonts w:ascii="Arial" w:eastAsia="Arial" w:hAnsi="Arial" w:cs="Arial"/>
          <w:sz w:val="22"/>
          <w:szCs w:val="22"/>
          <w:lang w:val="es-CO"/>
        </w:rPr>
      </w:pPr>
    </w:p>
    <w:p w14:paraId="383A70DF" w14:textId="77777777" w:rsidR="00F15EEF" w:rsidRPr="00FA7ADB" w:rsidRDefault="00F15EEF" w:rsidP="00DB4DEB">
      <w:pPr>
        <w:pBdr>
          <w:top w:val="nil"/>
          <w:left w:val="nil"/>
          <w:bottom w:val="nil"/>
          <w:right w:val="nil"/>
          <w:between w:val="nil"/>
        </w:pBdr>
        <w:ind w:left="680" w:right="680"/>
        <w:jc w:val="both"/>
        <w:rPr>
          <w:rFonts w:ascii="Arial" w:eastAsia="Arial" w:hAnsi="Arial" w:cs="Arial"/>
          <w:i/>
          <w:iCs/>
          <w:sz w:val="22"/>
          <w:szCs w:val="22"/>
          <w:lang w:val="es-CO"/>
        </w:rPr>
      </w:pPr>
      <w:r w:rsidRPr="00FA7ADB">
        <w:rPr>
          <w:rFonts w:ascii="Arial" w:eastAsia="Arial" w:hAnsi="Arial" w:cs="Arial"/>
          <w:i/>
          <w:iCs/>
          <w:sz w:val="22"/>
          <w:szCs w:val="22"/>
          <w:lang w:val="es-CO"/>
        </w:rPr>
        <w:t>“(...)</w:t>
      </w:r>
    </w:p>
    <w:p w14:paraId="3508D9F4" w14:textId="77777777" w:rsidR="00F15EEF" w:rsidRPr="00FA7ADB" w:rsidRDefault="00F15EEF" w:rsidP="00DB4DEB">
      <w:pPr>
        <w:pBdr>
          <w:top w:val="nil"/>
          <w:left w:val="nil"/>
          <w:bottom w:val="nil"/>
          <w:right w:val="nil"/>
          <w:between w:val="nil"/>
        </w:pBdr>
        <w:ind w:left="680" w:right="680"/>
        <w:jc w:val="both"/>
        <w:rPr>
          <w:rFonts w:ascii="Arial" w:eastAsia="Arial" w:hAnsi="Arial" w:cs="Arial"/>
          <w:i/>
          <w:iCs/>
          <w:sz w:val="22"/>
          <w:szCs w:val="22"/>
          <w:lang w:val="es-CO"/>
        </w:rPr>
      </w:pPr>
      <w:r w:rsidRPr="00FA7ADB">
        <w:rPr>
          <w:rFonts w:ascii="Arial" w:eastAsia="Arial" w:hAnsi="Arial" w:cs="Arial"/>
          <w:i/>
          <w:iCs/>
          <w:sz w:val="22"/>
          <w:szCs w:val="22"/>
          <w:lang w:val="es-CO"/>
        </w:rPr>
        <w:t>Para el caso de las sociedades mercantiles, el ordenamiento legal somete a inscripción ante las cámaras de comercio respectivas, entre otros actos, la constitución, reformas estatutarias y las escrituras de disolución y liquidación de las sociedades.</w:t>
      </w:r>
    </w:p>
    <w:p w14:paraId="2F9E2F4C" w14:textId="77777777" w:rsidR="00F15EEF" w:rsidRPr="00FA7ADB" w:rsidRDefault="00F15EEF" w:rsidP="00F15EEF">
      <w:pPr>
        <w:pBdr>
          <w:top w:val="nil"/>
          <w:left w:val="nil"/>
          <w:bottom w:val="nil"/>
          <w:right w:val="nil"/>
          <w:between w:val="nil"/>
        </w:pBdr>
        <w:jc w:val="both"/>
        <w:rPr>
          <w:rFonts w:ascii="Arial" w:eastAsia="Arial" w:hAnsi="Arial" w:cs="Arial"/>
          <w:i/>
          <w:iCs/>
          <w:sz w:val="22"/>
          <w:szCs w:val="22"/>
          <w:lang w:val="es-CO"/>
        </w:rPr>
      </w:pPr>
      <w:r w:rsidRPr="00FA7ADB">
        <w:rPr>
          <w:rFonts w:ascii="Arial" w:eastAsia="Arial" w:hAnsi="Arial" w:cs="Arial"/>
          <w:i/>
          <w:iCs/>
          <w:sz w:val="22"/>
          <w:szCs w:val="22"/>
          <w:lang w:val="es-CO"/>
        </w:rPr>
        <w:t xml:space="preserve"> </w:t>
      </w:r>
    </w:p>
    <w:p w14:paraId="62893F4A" w14:textId="77777777" w:rsidR="00F15EEF" w:rsidRPr="00FA7ADB" w:rsidRDefault="00F15EEF" w:rsidP="00DC2DF7">
      <w:pPr>
        <w:pBdr>
          <w:top w:val="nil"/>
          <w:left w:val="nil"/>
          <w:bottom w:val="nil"/>
          <w:right w:val="nil"/>
          <w:between w:val="nil"/>
        </w:pBdr>
        <w:ind w:left="680" w:right="680"/>
        <w:jc w:val="both"/>
        <w:rPr>
          <w:rFonts w:ascii="Arial" w:eastAsia="Arial" w:hAnsi="Arial" w:cs="Arial"/>
          <w:i/>
          <w:iCs/>
          <w:sz w:val="22"/>
          <w:szCs w:val="22"/>
          <w:lang w:val="es-CO"/>
        </w:rPr>
      </w:pPr>
      <w:r w:rsidRPr="00FA7ADB">
        <w:rPr>
          <w:rFonts w:ascii="Arial" w:eastAsia="Arial" w:hAnsi="Arial" w:cs="Arial"/>
          <w:i/>
          <w:iCs/>
          <w:sz w:val="22"/>
          <w:szCs w:val="22"/>
          <w:lang w:val="es-CO"/>
        </w:rPr>
        <w:t>Es necesario distinguir la extinción de la personalidad en sí, es decir, la capacidad jurídica, de la extinción del substrato material (patrimonio social). El término disolución se refiere en forma especial a la extinción de la personalidad, y el vocablo liquidación, a la extinción patrimonio social.</w:t>
      </w:r>
    </w:p>
    <w:p w14:paraId="464DDB11" w14:textId="77777777" w:rsidR="00F15EEF" w:rsidRPr="00FA7ADB" w:rsidRDefault="00F15EEF" w:rsidP="00DC2DF7">
      <w:pPr>
        <w:pBdr>
          <w:top w:val="nil"/>
          <w:left w:val="nil"/>
          <w:bottom w:val="nil"/>
          <w:right w:val="nil"/>
          <w:between w:val="nil"/>
        </w:pBdr>
        <w:ind w:left="680" w:right="680"/>
        <w:jc w:val="both"/>
        <w:rPr>
          <w:rFonts w:ascii="Arial" w:eastAsia="Arial" w:hAnsi="Arial" w:cs="Arial"/>
          <w:i/>
          <w:iCs/>
          <w:sz w:val="22"/>
          <w:szCs w:val="22"/>
          <w:lang w:val="es-CO"/>
        </w:rPr>
      </w:pPr>
      <w:r w:rsidRPr="00FA7ADB">
        <w:rPr>
          <w:rFonts w:ascii="Arial" w:eastAsia="Arial" w:hAnsi="Arial" w:cs="Arial"/>
          <w:i/>
          <w:iCs/>
          <w:sz w:val="22"/>
          <w:szCs w:val="22"/>
          <w:lang w:val="es-CO"/>
        </w:rPr>
        <w:t xml:space="preserve"> </w:t>
      </w:r>
    </w:p>
    <w:p w14:paraId="33D9E535" w14:textId="77777777" w:rsidR="00F15EEF" w:rsidRPr="00FA7ADB" w:rsidRDefault="00F15EEF" w:rsidP="00DC2DF7">
      <w:pPr>
        <w:pBdr>
          <w:top w:val="nil"/>
          <w:left w:val="nil"/>
          <w:bottom w:val="nil"/>
          <w:right w:val="nil"/>
          <w:between w:val="nil"/>
        </w:pBdr>
        <w:ind w:left="680" w:right="680"/>
        <w:jc w:val="both"/>
        <w:rPr>
          <w:rFonts w:ascii="Arial" w:eastAsia="Arial" w:hAnsi="Arial" w:cs="Arial"/>
          <w:i/>
          <w:iCs/>
          <w:sz w:val="22"/>
          <w:szCs w:val="22"/>
          <w:lang w:val="es-CO"/>
        </w:rPr>
      </w:pPr>
      <w:r w:rsidRPr="00FA7ADB">
        <w:rPr>
          <w:rFonts w:ascii="Arial" w:eastAsia="Arial" w:hAnsi="Arial" w:cs="Arial"/>
          <w:i/>
          <w:iCs/>
          <w:sz w:val="22"/>
          <w:szCs w:val="22"/>
          <w:lang w:val="es-CO"/>
        </w:rPr>
        <w:t xml:space="preserve">En este orden de ideas, se tiene que la sociedad es una persona jurídica con capacidad para ser sujeto de derechos y obligaciones, y, por consiguiente, para ser parte en un proceso, </w:t>
      </w:r>
      <w:r w:rsidRPr="00FA7ADB">
        <w:rPr>
          <w:rFonts w:ascii="Arial" w:eastAsia="Arial" w:hAnsi="Arial" w:cs="Arial"/>
          <w:b/>
          <w:bCs/>
          <w:i/>
          <w:iCs/>
          <w:sz w:val="22"/>
          <w:szCs w:val="22"/>
          <w:lang w:val="es-CO"/>
        </w:rPr>
        <w:t xml:space="preserve">atributo que conserva hasta tanto se liquide </w:t>
      </w:r>
      <w:r w:rsidRPr="00FA7ADB">
        <w:rPr>
          <w:rFonts w:ascii="Arial" w:eastAsia="Arial" w:hAnsi="Arial" w:cs="Arial"/>
          <w:b/>
          <w:bCs/>
          <w:i/>
          <w:iCs/>
          <w:sz w:val="22"/>
          <w:szCs w:val="22"/>
          <w:lang w:val="es-CO"/>
        </w:rPr>
        <w:lastRenderedPageBreak/>
        <w:t>el ente y se apruebe la cuenta final de su liquidación</w:t>
      </w:r>
      <w:r w:rsidRPr="00FA7ADB">
        <w:rPr>
          <w:rFonts w:ascii="Arial" w:eastAsia="Arial" w:hAnsi="Arial" w:cs="Arial"/>
          <w:i/>
          <w:iCs/>
          <w:sz w:val="22"/>
          <w:szCs w:val="22"/>
          <w:lang w:val="es-CO"/>
        </w:rPr>
        <w:t>, que es el momento en el cual desaparece o muere la persona jurídica.</w:t>
      </w:r>
    </w:p>
    <w:p w14:paraId="493AE76A" w14:textId="77777777" w:rsidR="00F15EEF" w:rsidRPr="00FA7ADB" w:rsidRDefault="00F15EEF" w:rsidP="00DC2DF7">
      <w:pPr>
        <w:pBdr>
          <w:top w:val="nil"/>
          <w:left w:val="nil"/>
          <w:bottom w:val="nil"/>
          <w:right w:val="nil"/>
          <w:between w:val="nil"/>
        </w:pBdr>
        <w:ind w:left="680" w:right="680"/>
        <w:jc w:val="both"/>
        <w:rPr>
          <w:rFonts w:ascii="Arial" w:eastAsia="Arial" w:hAnsi="Arial" w:cs="Arial"/>
          <w:i/>
          <w:iCs/>
          <w:sz w:val="22"/>
          <w:szCs w:val="22"/>
          <w:lang w:val="es-CO"/>
        </w:rPr>
      </w:pPr>
      <w:r w:rsidRPr="00FA7ADB">
        <w:rPr>
          <w:rFonts w:ascii="Arial" w:eastAsia="Arial" w:hAnsi="Arial" w:cs="Arial"/>
          <w:i/>
          <w:iCs/>
          <w:sz w:val="22"/>
          <w:szCs w:val="22"/>
          <w:lang w:val="es-CO"/>
        </w:rPr>
        <w:t xml:space="preserve"> </w:t>
      </w:r>
    </w:p>
    <w:p w14:paraId="73CC9A15" w14:textId="50956AFE" w:rsidR="00F15EEF" w:rsidRPr="00DC2DF7" w:rsidRDefault="00F15EEF" w:rsidP="00DC2DF7">
      <w:pPr>
        <w:pBdr>
          <w:top w:val="nil"/>
          <w:left w:val="nil"/>
          <w:bottom w:val="nil"/>
          <w:right w:val="nil"/>
          <w:between w:val="nil"/>
        </w:pBdr>
        <w:ind w:left="680" w:right="680"/>
        <w:jc w:val="both"/>
        <w:rPr>
          <w:rFonts w:ascii="Arial" w:eastAsia="Arial" w:hAnsi="Arial" w:cs="Arial"/>
          <w:i/>
          <w:iCs/>
          <w:sz w:val="22"/>
          <w:szCs w:val="22"/>
          <w:lang w:val="es-CO"/>
        </w:rPr>
      </w:pPr>
      <w:r w:rsidRPr="00DC2DF7">
        <w:rPr>
          <w:rFonts w:ascii="Arial" w:eastAsia="Arial" w:hAnsi="Arial" w:cs="Arial"/>
          <w:i/>
          <w:iCs/>
          <w:sz w:val="22"/>
          <w:szCs w:val="22"/>
          <w:lang w:val="es-CO"/>
        </w:rPr>
        <w:t>Hechas las anteriores precisiones y toda vez que la parte actora, por haber ejercido actividad comercial estaba sometida al régimen probatorio del derecho mercantil, debía acreditar su existencia y representación legal mediante el correspondiente registro expedido por la cámara de comercio, en la que conste, entre otros aspectos, la constancia de que “la sociedad no se halla disuelta” (artículo 117 ibidem).”</w:t>
      </w:r>
      <w:r w:rsidR="008B6DDE" w:rsidRPr="008B6DDE">
        <w:rPr>
          <w:rFonts w:ascii="Aptos" w:hAnsi="Aptos"/>
          <w:color w:val="000000"/>
          <w:u w:val="single"/>
          <w:shd w:val="clear" w:color="auto" w:fill="FFFFFF"/>
        </w:rPr>
        <w:t xml:space="preserve"> </w:t>
      </w:r>
      <w:hyperlink r:id="rId8" w:anchor="x__ftnref2" w:tooltip="#x__ftnref2" w:history="1">
        <w:r w:rsidR="008B6DDE" w:rsidRPr="008B6DDE">
          <w:rPr>
            <w:rStyle w:val="Hipervnculo"/>
            <w:rFonts w:ascii="Arial" w:eastAsia="Arial" w:hAnsi="Arial" w:cs="Arial"/>
            <w:i/>
            <w:iCs/>
            <w:sz w:val="22"/>
            <w:szCs w:val="22"/>
          </w:rPr>
          <w:t>[2]</w:t>
        </w:r>
      </w:hyperlink>
      <w:r w:rsidR="008B6DDE" w:rsidRPr="008B6DDE">
        <w:rPr>
          <w:rFonts w:ascii="Arial" w:eastAsia="Arial" w:hAnsi="Arial" w:cs="Arial"/>
          <w:i/>
          <w:iCs/>
          <w:sz w:val="22"/>
          <w:szCs w:val="22"/>
        </w:rPr>
        <w:t> </w:t>
      </w:r>
    </w:p>
    <w:p w14:paraId="0B4009E6" w14:textId="7777777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 </w:t>
      </w:r>
    </w:p>
    <w:p w14:paraId="32C8702E" w14:textId="796FB647" w:rsidR="00F15EEF" w:rsidRPr="00463AF0"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Ahora, si bien es cierto, la Subdirección de Investigaciones y Control de Vivienda tiene competencia para adelantar actuaciones administrativas respecto de las sociedades que se encuentren en estado de liquidación, también lo es que la misma desaparece a partir del momento en que se aprueba e inscribe la cuenta final liquidación de estas en la Cámara de Comercio, toda vez que con ella desaparece o muere la persona jurídica, esto es, pierde su capacidad para ser sujeto de derechos y obligaciones y, por consiguiente, para ser parte en un proceso; razón por la cual no sería procedente para esta Entidad iniciar o continuar adelantando actuaciones administrativas en contra un sujeto inexistente, tal como es el caso de la sociedad </w:t>
      </w:r>
      <w:r w:rsidR="00846659" w:rsidRPr="00AF0CC3">
        <w:rPr>
          <w:rFonts w:ascii="Arial" w:eastAsia="Arial" w:hAnsi="Arial" w:cs="Arial"/>
          <w:sz w:val="24"/>
          <w:szCs w:val="24"/>
          <w:highlight w:val="white"/>
        </w:rPr>
        <w:t>CMS + GMP ASOCIADOS S A S - EN LIQUIDACIÓN JUDICIAL</w:t>
      </w:r>
      <w:r w:rsidRPr="00463AF0">
        <w:rPr>
          <w:rFonts w:ascii="Arial" w:eastAsia="Arial" w:hAnsi="Arial" w:cs="Arial"/>
          <w:sz w:val="22"/>
          <w:szCs w:val="22"/>
          <w:lang w:val="es-CO"/>
        </w:rPr>
        <w:t>,</w:t>
      </w:r>
      <w:r w:rsidR="00846659">
        <w:rPr>
          <w:rFonts w:ascii="Arial" w:eastAsia="Arial" w:hAnsi="Arial" w:cs="Arial"/>
          <w:sz w:val="22"/>
          <w:szCs w:val="22"/>
          <w:lang w:val="es-CO"/>
        </w:rPr>
        <w:t xml:space="preserve"> </w:t>
      </w:r>
      <w:r w:rsidRPr="00463AF0">
        <w:rPr>
          <w:rFonts w:ascii="Arial" w:eastAsia="Arial" w:hAnsi="Arial" w:cs="Arial"/>
          <w:sz w:val="22"/>
          <w:szCs w:val="22"/>
          <w:lang w:val="es-CO"/>
        </w:rPr>
        <w:t>que como ya se indicó fue liquidada y su matrícula cancelada.</w:t>
      </w:r>
    </w:p>
    <w:p w14:paraId="34E463B6" w14:textId="77777777" w:rsidR="00B006FB" w:rsidRDefault="00B006FB" w:rsidP="00B006FB">
      <w:pPr>
        <w:pBdr>
          <w:top w:val="nil"/>
          <w:left w:val="nil"/>
          <w:bottom w:val="nil"/>
          <w:right w:val="nil"/>
          <w:between w:val="nil"/>
        </w:pBdr>
        <w:jc w:val="both"/>
        <w:rPr>
          <w:rFonts w:ascii="Arial" w:eastAsia="Arial" w:hAnsi="Arial" w:cs="Arial"/>
          <w:sz w:val="22"/>
          <w:szCs w:val="22"/>
          <w:lang w:val="es-CO"/>
        </w:rPr>
      </w:pPr>
    </w:p>
    <w:p w14:paraId="537CD201" w14:textId="1E9E2B00" w:rsidR="00B006FB" w:rsidRPr="00B006FB" w:rsidRDefault="00B006FB" w:rsidP="00B006FB">
      <w:pPr>
        <w:pBdr>
          <w:top w:val="nil"/>
          <w:left w:val="nil"/>
          <w:bottom w:val="nil"/>
          <w:right w:val="nil"/>
          <w:between w:val="nil"/>
        </w:pBdr>
        <w:jc w:val="both"/>
        <w:rPr>
          <w:rFonts w:ascii="Arial" w:hAnsi="Arial" w:cs="Arial"/>
          <w:color w:val="FF0000"/>
          <w:sz w:val="22"/>
          <w:szCs w:val="22"/>
          <w:lang w:eastAsia="es-ES"/>
        </w:rPr>
      </w:pPr>
      <w:r w:rsidRPr="00B006FB">
        <w:rPr>
          <w:rFonts w:ascii="Arial" w:hAnsi="Arial" w:cs="Arial"/>
          <w:sz w:val="22"/>
          <w:szCs w:val="22"/>
          <w:lang w:eastAsia="es-ES"/>
        </w:rPr>
        <w:t>De otra parte, respecto de la responsabilidad que les atañe a las sociedades liquidadas, se ha pronunciado la Corte Constitucional, indicando que no es desde ningún punto de vista contrario a nuestro régimen constitucional el limitar los riesgos para favorecer a los socios, sin embargo, esta limitación no es absoluta.</w:t>
      </w:r>
    </w:p>
    <w:p w14:paraId="76915849" w14:textId="77777777" w:rsidR="00B006FB" w:rsidRPr="000F2931" w:rsidRDefault="00B006FB" w:rsidP="00B006FB">
      <w:pPr>
        <w:pStyle w:val="Sinespaciado"/>
        <w:spacing w:before="240" w:after="160"/>
        <w:ind w:left="708"/>
        <w:jc w:val="both"/>
        <w:rPr>
          <w:rFonts w:ascii="Arial" w:hAnsi="Arial" w:cs="Arial"/>
          <w:i/>
          <w:lang w:eastAsia="es-ES"/>
        </w:rPr>
      </w:pPr>
      <w:r w:rsidRPr="000F2931">
        <w:rPr>
          <w:rFonts w:ascii="Arial" w:hAnsi="Arial" w:cs="Arial"/>
          <w:i/>
          <w:lang w:eastAsia="es-ES"/>
        </w:rPr>
        <w:t xml:space="preserve">“…Es precisamente en su relatividad intrínseca, como producto de la necesidad de salvaguardar los derechos de los demás o de impedir su desarrollo abusivo como medio de defraudación o engaño, o en últimas, en interés de preservar la moral pública, la seguridad nacional, la seguridad jurídica y el orden público, que el legislador permite interponer acciones contra los socios de dichas sociedades, en casos especiales y excepcionales, previamente tipificados en la ley, con el propósito de responsabilizarlos directamente con su propio patrimonio frente algunas obligaciones. Así, por ejemplo, el artículo 207 de la Ley 222 de 1995, independientemente del contenido del contrato social, hace responsables a los socios que incurran en violación de la ley por la comisión de actos de defraudación frente a terceros. Dispone la norma en cita: </w:t>
      </w:r>
    </w:p>
    <w:p w14:paraId="40F4E640" w14:textId="77777777" w:rsidR="00B006FB" w:rsidRPr="000F2931" w:rsidRDefault="00B006FB" w:rsidP="00B006FB">
      <w:pPr>
        <w:pStyle w:val="Sinespaciado"/>
        <w:spacing w:before="240" w:after="160"/>
        <w:ind w:left="708"/>
        <w:jc w:val="both"/>
        <w:rPr>
          <w:rFonts w:ascii="Arial" w:hAnsi="Arial" w:cs="Arial"/>
          <w:b/>
          <w:i/>
          <w:u w:val="single"/>
          <w:lang w:eastAsia="es-ES"/>
        </w:rPr>
      </w:pPr>
      <w:r w:rsidRPr="000F2931">
        <w:rPr>
          <w:rFonts w:ascii="Arial" w:hAnsi="Arial" w:cs="Arial"/>
          <w:b/>
          <w:i/>
          <w:u w:val="single"/>
          <w:lang w:eastAsia="es-ES"/>
        </w:rPr>
        <w:t>“Cuando los bienes de la liquidación sean insuficientes para cubrir el total de los créditos reconocidos y se demuestre que los socios utilizaron la sociedad para defraudar a los acreedores, serán responsables del pago del faltante del pasivo externo, en proporción a los derechos que cada uno tenga en la sociedad, La demanda deberá promoverse por el acreedor respectivo y se tramitará por el proceso ordinario.”</w:t>
      </w:r>
    </w:p>
    <w:p w14:paraId="0E31F74D" w14:textId="77777777" w:rsidR="00B006FB" w:rsidRPr="000F2931" w:rsidRDefault="00B006FB" w:rsidP="00B006FB">
      <w:pPr>
        <w:pStyle w:val="Sinespaciado"/>
        <w:spacing w:before="240" w:after="160"/>
        <w:ind w:left="708"/>
        <w:jc w:val="both"/>
        <w:rPr>
          <w:rFonts w:ascii="Arial" w:hAnsi="Arial" w:cs="Arial"/>
          <w:lang w:eastAsia="es-ES"/>
        </w:rPr>
      </w:pPr>
      <w:r w:rsidRPr="000F2931">
        <w:rPr>
          <w:rFonts w:ascii="Arial" w:hAnsi="Arial" w:cs="Arial"/>
          <w:i/>
          <w:lang w:eastAsia="es-ES"/>
        </w:rPr>
        <w:lastRenderedPageBreak/>
        <w:t>La responsabilidad aquí establecida se hará exigible sin perjuicio de las demás sanciones a que haya lugar y sin consideración al tipo societario”.”</w:t>
      </w:r>
      <w:r w:rsidRPr="000F2931">
        <w:rPr>
          <w:rFonts w:ascii="Arial" w:hAnsi="Arial" w:cs="Arial"/>
          <w:i/>
        </w:rPr>
        <w:t xml:space="preserve"> </w:t>
      </w:r>
      <w:r w:rsidRPr="000F2931">
        <w:rPr>
          <w:rStyle w:val="Refdenotaalpie"/>
          <w:rFonts w:ascii="Arial" w:hAnsi="Arial" w:cs="Arial"/>
        </w:rPr>
        <w:footnoteReference w:id="1"/>
      </w:r>
      <w:r w:rsidRPr="000F2931">
        <w:rPr>
          <w:rFonts w:ascii="Arial" w:hAnsi="Arial" w:cs="Arial"/>
          <w:i/>
          <w:lang w:eastAsia="es-ES"/>
        </w:rPr>
        <w:t xml:space="preserve"> </w:t>
      </w:r>
      <w:r w:rsidRPr="000F2931">
        <w:rPr>
          <w:rFonts w:ascii="Arial" w:hAnsi="Arial" w:cs="Arial"/>
          <w:lang w:eastAsia="es-ES"/>
        </w:rPr>
        <w:t>(Subrayas y negrillas fuera de texto).</w:t>
      </w:r>
    </w:p>
    <w:p w14:paraId="2DE8F47B" w14:textId="77777777" w:rsidR="00B006FB" w:rsidRPr="000F2931" w:rsidRDefault="00B006FB" w:rsidP="00B006FB">
      <w:pPr>
        <w:pStyle w:val="Sinespaciado"/>
        <w:spacing w:before="240" w:after="160"/>
        <w:jc w:val="both"/>
        <w:rPr>
          <w:rFonts w:ascii="Arial" w:hAnsi="Arial" w:cs="Arial"/>
          <w:lang w:eastAsia="es-ES"/>
        </w:rPr>
      </w:pPr>
      <w:r w:rsidRPr="000F2931">
        <w:rPr>
          <w:rFonts w:ascii="Arial" w:hAnsi="Arial" w:cs="Arial"/>
          <w:lang w:eastAsia="es-ES"/>
        </w:rPr>
        <w:t>Lo anterior sin dejar de lado lo preceptuado por el artículo 256 del Código de Comercio, referente a la persona que actuó como liquidador de la compañía, toda vez que éste debe responder por las situaciones atinentes a su administración en lo que corresponde al proceso liquidatario, por lo tanto las acciones de los terceros contra los liquidadores en razón de su gestión como liquidador prescribirán en cinco años contados a partir de la fecha de la aprobación de la cuenta final de la liquidación.</w:t>
      </w:r>
    </w:p>
    <w:p w14:paraId="5CF7CC4D" w14:textId="77777777" w:rsidR="00B006FB" w:rsidRPr="000F2931" w:rsidRDefault="00B006FB" w:rsidP="00B006FB">
      <w:pPr>
        <w:pStyle w:val="Sinespaciado"/>
        <w:spacing w:before="240" w:after="160"/>
        <w:jc w:val="both"/>
        <w:rPr>
          <w:rFonts w:ascii="Arial" w:hAnsi="Arial" w:cs="Arial"/>
          <w:lang w:eastAsia="es-ES"/>
        </w:rPr>
      </w:pPr>
      <w:r w:rsidRPr="000F2931">
        <w:rPr>
          <w:rFonts w:ascii="Arial" w:hAnsi="Arial" w:cs="Arial"/>
          <w:lang w:eastAsia="es-ES"/>
        </w:rPr>
        <w:t>De esta forma, debe el Despacho señalar que las sociedades enajenadoras pueden liquidarse a pesar de sus obligaciones contractuales y demás responsabilidades pendientes, puesto que la libertad de empresa que les cobija así les permite, no las exime de realizar un proceso liquidatario de conformidad con los dispuesto por los artículos 225 y s.s. del Código de Comercio, adelantando un proceso transparente y previendo las contingencias futuras derivadas de sus obligaciones contractuales.</w:t>
      </w:r>
    </w:p>
    <w:p w14:paraId="2D388718" w14:textId="38D2063F" w:rsidR="00B006FB" w:rsidRPr="00B006FB" w:rsidRDefault="00B006FB" w:rsidP="00B006FB">
      <w:pPr>
        <w:pStyle w:val="Sinespaciado"/>
        <w:spacing w:before="240" w:after="160"/>
        <w:jc w:val="both"/>
        <w:rPr>
          <w:rFonts w:ascii="Arial" w:hAnsi="Arial" w:cs="Arial"/>
          <w:lang w:eastAsia="es-ES"/>
        </w:rPr>
      </w:pPr>
      <w:r w:rsidRPr="000F2931">
        <w:rPr>
          <w:rFonts w:ascii="Arial" w:hAnsi="Arial" w:cs="Arial"/>
          <w:lang w:eastAsia="es-ES"/>
        </w:rPr>
        <w:t>Así las cosas, como antes se dijo, una vez finiquitado el proceso de liquidación de la sociedad mediante la inscripción de la cuenta final de liquidación, el ente social deja de tener existencia jurídica y capacidad para adquirir derechos y obligaciones; en consecuencia, no existe destinatario de las manifestaciones de la administración y por ende a quién imputarle el incumplimiento normativo objeto de la queja; lo tanto pierden relevancia ante el hecho sobreviniente de la liquidación de esta Sociedad, las solicitudes, descargos y demás pronunciamientos que se demanden sobre el caso en concreto.</w:t>
      </w:r>
    </w:p>
    <w:p w14:paraId="28CE4C2A" w14:textId="75ED573C" w:rsidR="00F15EEF" w:rsidRPr="008B6DDE" w:rsidRDefault="00F15EEF" w:rsidP="00F15EEF">
      <w:pPr>
        <w:pBdr>
          <w:top w:val="nil"/>
          <w:left w:val="nil"/>
          <w:bottom w:val="nil"/>
          <w:right w:val="nil"/>
          <w:between w:val="nil"/>
        </w:pBdr>
        <w:jc w:val="both"/>
        <w:rPr>
          <w:rFonts w:ascii="Arial" w:eastAsia="Arial" w:hAnsi="Arial" w:cs="Arial"/>
          <w:sz w:val="22"/>
          <w:szCs w:val="22"/>
          <w:lang w:val="es-CO"/>
        </w:rPr>
      </w:pPr>
      <w:r w:rsidRPr="00463AF0">
        <w:rPr>
          <w:rFonts w:ascii="Arial" w:eastAsia="Arial" w:hAnsi="Arial" w:cs="Arial"/>
          <w:sz w:val="22"/>
          <w:szCs w:val="22"/>
          <w:lang w:val="es-CO"/>
        </w:rPr>
        <w:t xml:space="preserve">Que de acuerdo con lo anterior y en razón a que la </w:t>
      </w:r>
      <w:r w:rsidRPr="00D65870">
        <w:rPr>
          <w:rFonts w:ascii="Arial" w:eastAsia="Arial" w:hAnsi="Arial" w:cs="Arial"/>
          <w:sz w:val="22"/>
          <w:szCs w:val="22"/>
          <w:lang w:val="es-CO"/>
        </w:rPr>
        <w:t xml:space="preserve">sociedad </w:t>
      </w:r>
      <w:r w:rsidR="00846659" w:rsidRPr="00D65870">
        <w:rPr>
          <w:rFonts w:ascii="Arial" w:eastAsia="Arial" w:hAnsi="Arial" w:cs="Arial"/>
          <w:sz w:val="22"/>
          <w:szCs w:val="22"/>
          <w:highlight w:val="white"/>
        </w:rPr>
        <w:t>CMS + GMP ASOCIADOS S A S - EN LIQUIDACIÓN JUDICIAL</w:t>
      </w:r>
      <w:r w:rsidRPr="00D65870">
        <w:rPr>
          <w:rFonts w:ascii="Arial" w:eastAsia="Arial" w:hAnsi="Arial" w:cs="Arial"/>
          <w:sz w:val="22"/>
          <w:szCs w:val="22"/>
          <w:lang w:val="es-CO"/>
        </w:rPr>
        <w:t>, que fuera identificada</w:t>
      </w:r>
      <w:r w:rsidRPr="00463AF0">
        <w:rPr>
          <w:rFonts w:ascii="Arial" w:eastAsia="Arial" w:hAnsi="Arial" w:cs="Arial"/>
          <w:sz w:val="22"/>
          <w:szCs w:val="22"/>
          <w:lang w:val="es-CO"/>
        </w:rPr>
        <w:t xml:space="preserve"> con NIT. </w:t>
      </w:r>
      <w:r w:rsidR="00846659" w:rsidRPr="008D7F6E">
        <w:rPr>
          <w:rFonts w:ascii="Arial" w:eastAsia="Arial" w:hAnsi="Arial" w:cs="Arial"/>
          <w:sz w:val="22"/>
          <w:szCs w:val="22"/>
        </w:rPr>
        <w:t>900.193.192-8</w:t>
      </w:r>
      <w:r w:rsidRPr="00463AF0">
        <w:rPr>
          <w:rFonts w:ascii="Arial" w:eastAsia="Arial" w:hAnsi="Arial" w:cs="Arial"/>
          <w:sz w:val="22"/>
          <w:szCs w:val="22"/>
          <w:lang w:val="es-CO"/>
        </w:rPr>
        <w:t xml:space="preserve">, desapareció de la </w:t>
      </w:r>
      <w:r w:rsidRPr="008B6DDE">
        <w:rPr>
          <w:rFonts w:ascii="Arial" w:eastAsia="Arial" w:hAnsi="Arial" w:cs="Arial"/>
          <w:sz w:val="22"/>
          <w:szCs w:val="22"/>
          <w:lang w:val="es-CO"/>
        </w:rPr>
        <w:t xml:space="preserve">vida jurídica, no es dable que el Despacho continúe surtiendo el trámite administrativo tendiente a procurar el cumplimiento de la orden impuesta en la Resolución No. </w:t>
      </w:r>
      <w:r w:rsidR="00216B92" w:rsidRPr="008B6DDE">
        <w:rPr>
          <w:rFonts w:ascii="Arial" w:eastAsia="Arial" w:hAnsi="Arial" w:cs="Arial"/>
          <w:sz w:val="22"/>
          <w:szCs w:val="22"/>
        </w:rPr>
        <w:t>1218 del 18 de junio de 2021</w:t>
      </w:r>
      <w:r w:rsidRPr="008B6DDE">
        <w:rPr>
          <w:rFonts w:ascii="Arial" w:eastAsia="Arial" w:hAnsi="Arial" w:cs="Arial"/>
          <w:sz w:val="22"/>
          <w:szCs w:val="22"/>
          <w:lang w:val="es-CO"/>
        </w:rPr>
        <w:t>, por consiguiente, se dará por terminada la presente actuación y se archivaran las diligencias contentivas del expediente con radicado No. 1-201</w:t>
      </w:r>
      <w:r w:rsidR="00216B92" w:rsidRPr="008B6DDE">
        <w:rPr>
          <w:rFonts w:ascii="Arial" w:eastAsia="Arial" w:hAnsi="Arial" w:cs="Arial"/>
          <w:sz w:val="22"/>
          <w:szCs w:val="22"/>
          <w:lang w:val="es-CO"/>
        </w:rPr>
        <w:t>8</w:t>
      </w:r>
      <w:r w:rsidRPr="008B6DDE">
        <w:rPr>
          <w:rFonts w:ascii="Arial" w:eastAsia="Arial" w:hAnsi="Arial" w:cs="Arial"/>
          <w:sz w:val="22"/>
          <w:szCs w:val="22"/>
          <w:lang w:val="es-CO"/>
        </w:rPr>
        <w:t>-</w:t>
      </w:r>
      <w:r w:rsidR="00216B92" w:rsidRPr="008B6DDE">
        <w:rPr>
          <w:rFonts w:ascii="Arial" w:eastAsia="Arial" w:hAnsi="Arial" w:cs="Arial"/>
          <w:sz w:val="22"/>
          <w:szCs w:val="22"/>
          <w:lang w:val="es-CO"/>
        </w:rPr>
        <w:t>15326-1</w:t>
      </w:r>
      <w:r w:rsidRPr="008B6DDE">
        <w:rPr>
          <w:rFonts w:ascii="Arial" w:eastAsia="Arial" w:hAnsi="Arial" w:cs="Arial"/>
          <w:sz w:val="22"/>
          <w:szCs w:val="22"/>
          <w:lang w:val="es-CO"/>
        </w:rPr>
        <w:t>.</w:t>
      </w:r>
    </w:p>
    <w:p w14:paraId="0D4CABF8" w14:textId="77777777" w:rsidR="00F15EEF" w:rsidRPr="008B6DDE" w:rsidRDefault="00F15EEF" w:rsidP="00F15EEF">
      <w:pPr>
        <w:pBdr>
          <w:top w:val="nil"/>
          <w:left w:val="nil"/>
          <w:bottom w:val="nil"/>
          <w:right w:val="nil"/>
          <w:between w:val="nil"/>
        </w:pBdr>
        <w:jc w:val="both"/>
        <w:rPr>
          <w:rFonts w:ascii="Arial" w:eastAsia="Arial" w:hAnsi="Arial" w:cs="Arial"/>
          <w:sz w:val="22"/>
          <w:szCs w:val="22"/>
          <w:lang w:val="es-CO"/>
        </w:rPr>
      </w:pPr>
      <w:r w:rsidRPr="008B6DDE">
        <w:rPr>
          <w:rFonts w:ascii="Arial" w:eastAsia="Arial" w:hAnsi="Arial" w:cs="Arial"/>
          <w:sz w:val="22"/>
          <w:szCs w:val="22"/>
          <w:lang w:val="es-CO"/>
        </w:rPr>
        <w:t xml:space="preserve"> </w:t>
      </w:r>
    </w:p>
    <w:p w14:paraId="3EDB5CEE" w14:textId="516E1239" w:rsidR="00F15EEF" w:rsidRPr="008B6DDE" w:rsidRDefault="00F15EEF" w:rsidP="00F15EEF">
      <w:pPr>
        <w:pBdr>
          <w:top w:val="nil"/>
          <w:left w:val="nil"/>
          <w:bottom w:val="nil"/>
          <w:right w:val="nil"/>
          <w:between w:val="nil"/>
        </w:pBdr>
        <w:jc w:val="both"/>
        <w:rPr>
          <w:rFonts w:ascii="Arial" w:eastAsia="Arial" w:hAnsi="Arial" w:cs="Arial"/>
          <w:sz w:val="22"/>
          <w:szCs w:val="22"/>
          <w:lang w:val="es-CO"/>
        </w:rPr>
      </w:pPr>
      <w:r w:rsidRPr="008B6DDE">
        <w:rPr>
          <w:rFonts w:ascii="Arial" w:eastAsia="Arial" w:hAnsi="Arial" w:cs="Arial"/>
          <w:sz w:val="22"/>
          <w:szCs w:val="22"/>
          <w:lang w:val="es-CO"/>
        </w:rPr>
        <w:t>En mérito de lo expuesto, este Despacho,</w:t>
      </w:r>
    </w:p>
    <w:p w14:paraId="30C4D11A" w14:textId="77777777" w:rsidR="00F15EEF" w:rsidRDefault="00F15EEF" w:rsidP="00F15EEF">
      <w:pPr>
        <w:pBdr>
          <w:top w:val="nil"/>
          <w:left w:val="nil"/>
          <w:bottom w:val="nil"/>
          <w:right w:val="nil"/>
          <w:between w:val="nil"/>
        </w:pBdr>
        <w:jc w:val="both"/>
        <w:rPr>
          <w:rFonts w:ascii="Arial" w:eastAsia="Arial" w:hAnsi="Arial" w:cs="Arial"/>
          <w:b/>
          <w:bCs/>
          <w:sz w:val="22"/>
          <w:szCs w:val="22"/>
          <w:lang w:val="es-CO"/>
        </w:rPr>
      </w:pPr>
    </w:p>
    <w:p w14:paraId="17D6F01B" w14:textId="77777777" w:rsidR="00463AF0" w:rsidRPr="00463AF0" w:rsidRDefault="00463AF0" w:rsidP="00463AF0">
      <w:pPr>
        <w:pBdr>
          <w:top w:val="nil"/>
          <w:left w:val="nil"/>
          <w:bottom w:val="nil"/>
          <w:right w:val="nil"/>
          <w:between w:val="nil"/>
        </w:pBdr>
        <w:jc w:val="center"/>
        <w:rPr>
          <w:rFonts w:ascii="Arial" w:eastAsia="Arial" w:hAnsi="Arial" w:cs="Arial"/>
          <w:b/>
          <w:bCs/>
          <w:sz w:val="22"/>
          <w:szCs w:val="22"/>
          <w:lang w:val="es-CO"/>
        </w:rPr>
      </w:pPr>
      <w:r w:rsidRPr="00463AF0">
        <w:rPr>
          <w:rFonts w:ascii="Arial" w:eastAsia="Arial" w:hAnsi="Arial" w:cs="Arial"/>
          <w:b/>
          <w:bCs/>
          <w:sz w:val="22"/>
          <w:szCs w:val="22"/>
          <w:lang w:val="es-CO"/>
        </w:rPr>
        <w:t>RESUELVE:</w:t>
      </w:r>
    </w:p>
    <w:p w14:paraId="7408E1F0" w14:textId="77777777" w:rsidR="00F15EEF" w:rsidRPr="00F15EEF" w:rsidRDefault="00F15EEF" w:rsidP="00F15EEF">
      <w:pPr>
        <w:pBdr>
          <w:top w:val="nil"/>
          <w:left w:val="nil"/>
          <w:bottom w:val="nil"/>
          <w:right w:val="nil"/>
          <w:between w:val="nil"/>
        </w:pBdr>
        <w:jc w:val="both"/>
        <w:rPr>
          <w:rFonts w:ascii="Arial" w:eastAsia="Arial" w:hAnsi="Arial" w:cs="Arial"/>
          <w:b/>
          <w:bCs/>
          <w:sz w:val="22"/>
          <w:szCs w:val="22"/>
          <w:lang w:val="es-CO"/>
        </w:rPr>
      </w:pPr>
    </w:p>
    <w:p w14:paraId="4F50DA1E" w14:textId="15F488CF" w:rsidR="008B6DDE" w:rsidRPr="008B6DDE" w:rsidRDefault="008B6DDE">
      <w:pPr>
        <w:pBdr>
          <w:top w:val="nil"/>
          <w:left w:val="nil"/>
          <w:bottom w:val="nil"/>
          <w:right w:val="nil"/>
          <w:between w:val="nil"/>
        </w:pBdr>
        <w:jc w:val="both"/>
        <w:rPr>
          <w:rFonts w:ascii="Arial" w:eastAsia="Arial" w:hAnsi="Arial" w:cs="Arial"/>
          <w:b/>
          <w:bCs/>
          <w:sz w:val="22"/>
          <w:szCs w:val="22"/>
          <w:lang w:val="es-CO"/>
        </w:rPr>
      </w:pPr>
      <w:r w:rsidRPr="008B6DDE">
        <w:rPr>
          <w:rFonts w:ascii="Arial" w:eastAsia="Arial" w:hAnsi="Arial" w:cs="Arial"/>
          <w:b/>
          <w:bCs/>
          <w:sz w:val="22"/>
          <w:szCs w:val="22"/>
          <w:lang w:val="es-CO"/>
        </w:rPr>
        <w:t>ARTÍCULO PRIMERO. </w:t>
      </w:r>
      <w:r w:rsidRPr="008B6DDE">
        <w:rPr>
          <w:rFonts w:ascii="Arial" w:eastAsia="Arial" w:hAnsi="Arial" w:cs="Arial"/>
          <w:sz w:val="22"/>
          <w:szCs w:val="22"/>
          <w:lang w:val="es-CO"/>
        </w:rPr>
        <w:t>Declárese culminada la presente actuación administrativa referida al seguimiento al cumplimiento de las órdenes de hacer impuestas en la Resolución No. 2450 del 02 de diciembre de 2021 “</w:t>
      </w:r>
      <w:r w:rsidRPr="008B6DDE">
        <w:rPr>
          <w:rFonts w:ascii="Arial" w:eastAsia="Arial" w:hAnsi="Arial" w:cs="Arial"/>
          <w:i/>
          <w:iCs/>
          <w:sz w:val="22"/>
          <w:szCs w:val="22"/>
          <w:lang w:val="es-CO"/>
        </w:rPr>
        <w:t>Por la cual se impone una sanción y se imparte una orden”</w:t>
      </w:r>
      <w:r w:rsidRPr="008B6DDE">
        <w:rPr>
          <w:rFonts w:ascii="Arial" w:eastAsia="Arial" w:hAnsi="Arial" w:cs="Arial"/>
          <w:sz w:val="22"/>
          <w:szCs w:val="22"/>
          <w:lang w:val="es-CO"/>
        </w:rPr>
        <w:t xml:space="preserve"> a la </w:t>
      </w:r>
      <w:r w:rsidRPr="00D65870">
        <w:rPr>
          <w:rFonts w:ascii="Arial" w:eastAsia="Arial" w:hAnsi="Arial" w:cs="Arial"/>
          <w:sz w:val="22"/>
          <w:szCs w:val="22"/>
          <w:lang w:val="es-CO"/>
        </w:rPr>
        <w:t>sociedad </w:t>
      </w:r>
      <w:r w:rsidRPr="00D65870">
        <w:rPr>
          <w:rFonts w:ascii="Arial" w:eastAsia="Arial" w:hAnsi="Arial" w:cs="Arial"/>
          <w:sz w:val="22"/>
          <w:szCs w:val="22"/>
          <w:highlight w:val="white"/>
        </w:rPr>
        <w:t>CMS + GMP ASOCIADOS S A S - EN LIQUIDACIÓN JUDICIAL</w:t>
      </w:r>
      <w:r w:rsidRPr="00D65870">
        <w:rPr>
          <w:rFonts w:ascii="Arial" w:eastAsia="Arial" w:hAnsi="Arial" w:cs="Arial"/>
          <w:sz w:val="22"/>
          <w:szCs w:val="22"/>
          <w:lang w:val="es-CO"/>
        </w:rPr>
        <w:t xml:space="preserve">, </w:t>
      </w:r>
      <w:r w:rsidRPr="00D65870">
        <w:rPr>
          <w:rFonts w:ascii="Arial" w:eastAsia="Arial" w:hAnsi="Arial" w:cs="Arial"/>
          <w:sz w:val="22"/>
          <w:szCs w:val="22"/>
          <w:lang w:val="es-CO"/>
        </w:rPr>
        <w:lastRenderedPageBreak/>
        <w:t xml:space="preserve">entonces identificada con NIT. </w:t>
      </w:r>
      <w:r w:rsidRPr="00D65870">
        <w:rPr>
          <w:rFonts w:ascii="Arial" w:eastAsia="Arial" w:hAnsi="Arial" w:cs="Arial"/>
          <w:sz w:val="22"/>
          <w:szCs w:val="22"/>
        </w:rPr>
        <w:t>900.193.192-8</w:t>
      </w:r>
      <w:r w:rsidRPr="00D65870">
        <w:rPr>
          <w:rFonts w:ascii="Arial" w:eastAsia="Arial" w:hAnsi="Arial" w:cs="Arial"/>
          <w:sz w:val="22"/>
          <w:szCs w:val="22"/>
          <w:lang w:val="es-CO"/>
        </w:rPr>
        <w:t>, la cual se encuentra liquidada y su matrícula cancelada, según lo expuesto en la parte motiva del presente acto administrativo</w:t>
      </w:r>
      <w:r w:rsidRPr="008B6DDE">
        <w:rPr>
          <w:rFonts w:ascii="Arial" w:eastAsia="Arial" w:hAnsi="Arial" w:cs="Arial"/>
          <w:sz w:val="22"/>
          <w:szCs w:val="22"/>
          <w:lang w:val="es-CO"/>
        </w:rPr>
        <w:t>.</w:t>
      </w:r>
    </w:p>
    <w:p w14:paraId="2174A084" w14:textId="77777777" w:rsidR="008B6DDE" w:rsidRDefault="008B6DDE">
      <w:pPr>
        <w:pBdr>
          <w:top w:val="nil"/>
          <w:left w:val="nil"/>
          <w:bottom w:val="nil"/>
          <w:right w:val="nil"/>
          <w:between w:val="nil"/>
        </w:pBdr>
        <w:jc w:val="both"/>
        <w:rPr>
          <w:rFonts w:ascii="Arial" w:eastAsia="Arial" w:hAnsi="Arial" w:cs="Arial"/>
          <w:b/>
          <w:bCs/>
          <w:sz w:val="22"/>
          <w:szCs w:val="22"/>
        </w:rPr>
      </w:pPr>
    </w:p>
    <w:p w14:paraId="64B746DA" w14:textId="4ABE460C" w:rsidR="002D7A09" w:rsidRDefault="00332BB4">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SEGUNDO:</w:t>
      </w:r>
      <w:r>
        <w:rPr>
          <w:rFonts w:ascii="Arial" w:eastAsia="Arial" w:hAnsi="Arial" w:cs="Arial"/>
          <w:sz w:val="22"/>
          <w:szCs w:val="22"/>
        </w:rPr>
        <w:t xml:space="preserve"> Notificar el contenido de esta Resolución al administrador</w:t>
      </w:r>
      <w:r w:rsidR="00A01040">
        <w:rPr>
          <w:rFonts w:ascii="Arial" w:eastAsia="Arial" w:hAnsi="Arial" w:cs="Arial"/>
          <w:sz w:val="22"/>
          <w:szCs w:val="22"/>
        </w:rPr>
        <w:t xml:space="preserve"> </w:t>
      </w:r>
      <w:r>
        <w:rPr>
          <w:rFonts w:ascii="Arial" w:eastAsia="Arial" w:hAnsi="Arial" w:cs="Arial"/>
          <w:sz w:val="22"/>
          <w:szCs w:val="22"/>
        </w:rPr>
        <w:t xml:space="preserve">(o quien haga sus veces), del Proyecto de vivienda EDIFICIO GIARDINO 144 - PROPIEDAD HORIZONTAL, para lo cual deberá enviarse citación para notificación personal a </w:t>
      </w:r>
      <w:r w:rsidRPr="00A01040">
        <w:rPr>
          <w:rFonts w:ascii="Arial" w:eastAsia="Arial" w:hAnsi="Arial" w:cs="Arial"/>
          <w:sz w:val="22"/>
          <w:szCs w:val="22"/>
        </w:rPr>
        <w:t xml:space="preserve">la </w:t>
      </w:r>
      <w:r w:rsidR="008B6DDE" w:rsidRPr="00A01040">
        <w:rPr>
          <w:rFonts w:ascii="Arial" w:eastAsia="Arial" w:hAnsi="Arial" w:cs="Arial"/>
          <w:sz w:val="22"/>
          <w:szCs w:val="22"/>
        </w:rPr>
        <w:t>C</w:t>
      </w:r>
      <w:r w:rsidRPr="00A01040">
        <w:rPr>
          <w:rFonts w:ascii="Arial" w:eastAsia="Arial" w:hAnsi="Arial" w:cs="Arial"/>
          <w:sz w:val="22"/>
          <w:szCs w:val="22"/>
        </w:rPr>
        <w:t>alle 144 #13</w:t>
      </w:r>
      <w:r w:rsidR="00A01040">
        <w:rPr>
          <w:rFonts w:ascii="Arial" w:eastAsia="Arial" w:hAnsi="Arial" w:cs="Arial"/>
          <w:sz w:val="22"/>
          <w:szCs w:val="22"/>
        </w:rPr>
        <w:t xml:space="preserve"> </w:t>
      </w:r>
      <w:r w:rsidRPr="00A01040">
        <w:rPr>
          <w:rFonts w:ascii="Arial" w:eastAsia="Arial" w:hAnsi="Arial" w:cs="Arial"/>
          <w:sz w:val="22"/>
          <w:szCs w:val="22"/>
        </w:rPr>
        <w:t>-</w:t>
      </w:r>
      <w:r w:rsidR="00A01040">
        <w:rPr>
          <w:rFonts w:ascii="Arial" w:eastAsia="Arial" w:hAnsi="Arial" w:cs="Arial"/>
          <w:sz w:val="22"/>
          <w:szCs w:val="22"/>
        </w:rPr>
        <w:t xml:space="preserve"> </w:t>
      </w:r>
      <w:r w:rsidRPr="00A01040">
        <w:rPr>
          <w:rFonts w:ascii="Arial" w:eastAsia="Arial" w:hAnsi="Arial" w:cs="Arial"/>
          <w:sz w:val="22"/>
          <w:szCs w:val="22"/>
        </w:rPr>
        <w:t>42 de Bogotá; o, en</w:t>
      </w:r>
      <w:r>
        <w:rPr>
          <w:rFonts w:ascii="Arial" w:eastAsia="Arial" w:hAnsi="Arial" w:cs="Arial"/>
          <w:sz w:val="22"/>
          <w:szCs w:val="22"/>
        </w:rPr>
        <w:t xml:space="preserve"> su defecto, de conformidad con las normas de notificación previstas en la Ley 1437 de 2011.</w:t>
      </w:r>
    </w:p>
    <w:p w14:paraId="64B746DB" w14:textId="77777777" w:rsidR="002D7A09" w:rsidRDefault="002D7A09">
      <w:pPr>
        <w:widowControl w:val="0"/>
        <w:jc w:val="both"/>
        <w:rPr>
          <w:rFonts w:ascii="Arial" w:eastAsia="Arial" w:hAnsi="Arial" w:cs="Arial"/>
          <w:b/>
          <w:bCs/>
          <w:sz w:val="22"/>
          <w:szCs w:val="22"/>
        </w:rPr>
      </w:pPr>
    </w:p>
    <w:p w14:paraId="5C14B7C2" w14:textId="70E5E7A6" w:rsidR="00A01040" w:rsidRPr="00A01040" w:rsidRDefault="00332BB4">
      <w:pPr>
        <w:widowControl w:val="0"/>
        <w:jc w:val="both"/>
        <w:rPr>
          <w:rFonts w:ascii="Arial" w:eastAsia="Arial" w:hAnsi="Arial" w:cs="Arial"/>
          <w:sz w:val="22"/>
          <w:szCs w:val="22"/>
        </w:rPr>
      </w:pPr>
      <w:r>
        <w:rPr>
          <w:rFonts w:ascii="Arial" w:eastAsia="Arial" w:hAnsi="Arial" w:cs="Arial"/>
          <w:b/>
          <w:bCs/>
          <w:sz w:val="22"/>
          <w:szCs w:val="22"/>
        </w:rPr>
        <w:t xml:space="preserve">ARTÍCULO TERCERO: </w:t>
      </w:r>
      <w:r w:rsidR="00A01040">
        <w:rPr>
          <w:rFonts w:ascii="Arial" w:eastAsia="Arial" w:hAnsi="Arial" w:cs="Arial"/>
          <w:sz w:val="22"/>
          <w:szCs w:val="22"/>
        </w:rPr>
        <w:t xml:space="preserve">Notificar el contenido de esta Resolución al representante legal (o quien haga sus veces) de la </w:t>
      </w:r>
      <w:r w:rsidR="00A01040" w:rsidRPr="002B1275">
        <w:rPr>
          <w:rFonts w:ascii="Arial" w:eastAsia="Arial" w:hAnsi="Arial" w:cs="Arial"/>
          <w:sz w:val="22"/>
          <w:szCs w:val="22"/>
        </w:rPr>
        <w:t xml:space="preserve">enajenadora </w:t>
      </w:r>
      <w:r w:rsidR="00A01040" w:rsidRPr="002B1275">
        <w:rPr>
          <w:rFonts w:ascii="Arial" w:eastAsia="Arial" w:hAnsi="Arial" w:cs="Arial"/>
          <w:sz w:val="22"/>
          <w:szCs w:val="22"/>
          <w:highlight w:val="white"/>
        </w:rPr>
        <w:t>CMS + GMP ASOCIADOS S A S - EN LIQUIDACIÓN JUDICIAL,</w:t>
      </w:r>
      <w:r w:rsidR="00A01040" w:rsidRPr="002B1275">
        <w:rPr>
          <w:rFonts w:ascii="Arial" w:eastAsia="Arial" w:hAnsi="Arial" w:cs="Arial"/>
          <w:sz w:val="22"/>
          <w:szCs w:val="22"/>
        </w:rPr>
        <w:t xml:space="preserve"> identificada</w:t>
      </w:r>
      <w:r w:rsidR="00A01040" w:rsidRPr="00216B92">
        <w:rPr>
          <w:rFonts w:ascii="Arial" w:eastAsia="Arial" w:hAnsi="Arial" w:cs="Arial"/>
          <w:sz w:val="22"/>
          <w:szCs w:val="22"/>
        </w:rPr>
        <w:t xml:space="preserve"> con NIT. 900.193.192-8, representada legalmente por el liquidador GILBERTO NARANJO RODRIGUEZ (o quien haga sus veces)</w:t>
      </w:r>
      <w:r w:rsidR="00A01040">
        <w:rPr>
          <w:rFonts w:ascii="Arial" w:eastAsia="Arial" w:hAnsi="Arial" w:cs="Arial"/>
          <w:sz w:val="22"/>
          <w:szCs w:val="22"/>
        </w:rPr>
        <w:t xml:space="preserve"> para lo cual deberá enviarse citación para notificación personal </w:t>
      </w:r>
      <w:r w:rsidR="00A01040" w:rsidRPr="00A01040">
        <w:rPr>
          <w:rFonts w:ascii="Arial" w:eastAsia="Arial" w:hAnsi="Arial" w:cs="Arial"/>
          <w:sz w:val="22"/>
          <w:szCs w:val="22"/>
        </w:rPr>
        <w:t>a la Carrera 15 # 90 – 46 oficina 401 de Bogotá; o, en su defecto, de conformidad con las normas de notificación previstas en la Ley 1437 de 2011</w:t>
      </w:r>
    </w:p>
    <w:p w14:paraId="64B746DD" w14:textId="77777777" w:rsidR="002D7A09" w:rsidRDefault="002D7A09">
      <w:pPr>
        <w:widowControl w:val="0"/>
        <w:jc w:val="both"/>
        <w:rPr>
          <w:rFonts w:ascii="Arial" w:eastAsia="Arial" w:hAnsi="Arial" w:cs="Arial"/>
          <w:sz w:val="22"/>
          <w:szCs w:val="22"/>
        </w:rPr>
      </w:pPr>
    </w:p>
    <w:p w14:paraId="094287E9" w14:textId="77777777" w:rsidR="00A01040" w:rsidRDefault="00332BB4" w:rsidP="00A01040">
      <w:pPr>
        <w:widowControl w:val="0"/>
        <w:jc w:val="both"/>
        <w:rPr>
          <w:rFonts w:ascii="Arial" w:eastAsia="Arial" w:hAnsi="Arial" w:cs="Arial"/>
          <w:sz w:val="22"/>
          <w:szCs w:val="22"/>
        </w:rPr>
      </w:pPr>
      <w:r>
        <w:rPr>
          <w:rFonts w:ascii="Arial" w:eastAsia="Arial" w:hAnsi="Arial" w:cs="Arial"/>
          <w:b/>
          <w:bCs/>
          <w:sz w:val="22"/>
          <w:szCs w:val="22"/>
        </w:rPr>
        <w:t>ARTÍCULO CUARTO:</w:t>
      </w:r>
      <w:r>
        <w:rPr>
          <w:rFonts w:ascii="Arial" w:eastAsia="Arial" w:hAnsi="Arial" w:cs="Arial"/>
          <w:sz w:val="22"/>
          <w:szCs w:val="22"/>
        </w:rPr>
        <w:t xml:space="preserve"> </w:t>
      </w:r>
      <w:r w:rsidR="00A01040">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5D1A8D66" w14:textId="77777777" w:rsidR="00A01040" w:rsidRDefault="00A01040">
      <w:pPr>
        <w:jc w:val="both"/>
        <w:rPr>
          <w:rFonts w:ascii="Arial" w:eastAsia="Arial" w:hAnsi="Arial" w:cs="Arial"/>
          <w:sz w:val="22"/>
          <w:szCs w:val="22"/>
        </w:rPr>
      </w:pPr>
    </w:p>
    <w:p w14:paraId="64B746DE" w14:textId="60F83F11" w:rsidR="002D7A09" w:rsidRDefault="00A01040">
      <w:pPr>
        <w:jc w:val="both"/>
        <w:rPr>
          <w:rFonts w:ascii="Arial" w:eastAsia="Arial" w:hAnsi="Arial" w:cs="Arial"/>
          <w:sz w:val="22"/>
          <w:szCs w:val="22"/>
        </w:rPr>
      </w:pPr>
      <w:r w:rsidRPr="000F2931">
        <w:rPr>
          <w:rFonts w:ascii="Arial" w:hAnsi="Arial" w:cs="Arial"/>
          <w:b/>
          <w:bCs/>
          <w:sz w:val="22"/>
          <w:szCs w:val="22"/>
        </w:rPr>
        <w:t>ARTÍCULO QUINTO</w:t>
      </w:r>
      <w:r w:rsidRPr="000F2931">
        <w:rPr>
          <w:rFonts w:ascii="Arial" w:hAnsi="Arial" w:cs="Arial"/>
          <w:sz w:val="22"/>
          <w:szCs w:val="22"/>
        </w:rPr>
        <w:t xml:space="preserve">. </w:t>
      </w:r>
      <w:r w:rsidR="00332BB4">
        <w:rPr>
          <w:rFonts w:ascii="Arial" w:eastAsia="Arial" w:hAnsi="Arial" w:cs="Arial"/>
          <w:sz w:val="22"/>
          <w:szCs w:val="22"/>
        </w:rPr>
        <w:t>La presente Resolución rige a partir de su expedición.</w:t>
      </w:r>
    </w:p>
    <w:p w14:paraId="64B746DF" w14:textId="77777777" w:rsidR="002D7A09" w:rsidRDefault="002D7A09">
      <w:pPr>
        <w:pBdr>
          <w:top w:val="nil"/>
          <w:left w:val="nil"/>
          <w:bottom w:val="nil"/>
          <w:right w:val="nil"/>
          <w:between w:val="nil"/>
        </w:pBdr>
        <w:jc w:val="both"/>
        <w:rPr>
          <w:rFonts w:ascii="Arial" w:eastAsia="Arial" w:hAnsi="Arial" w:cs="Arial"/>
          <w:b/>
          <w:bCs/>
          <w:color w:val="000000"/>
          <w:sz w:val="22"/>
          <w:szCs w:val="22"/>
          <w:highlight w:val="white"/>
        </w:rPr>
      </w:pPr>
    </w:p>
    <w:p w14:paraId="64B746E0" w14:textId="77777777" w:rsidR="002D7A09" w:rsidRDefault="00332BB4">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64B746E1" w14:textId="77777777" w:rsidR="002D7A09" w:rsidRDefault="002D7A09">
      <w:pPr>
        <w:rPr>
          <w:rFonts w:ascii="Arial" w:eastAsia="Arial" w:hAnsi="Arial" w:cs="Arial"/>
          <w:b/>
          <w:bCs/>
          <w:sz w:val="22"/>
          <w:szCs w:val="22"/>
        </w:rPr>
      </w:pPr>
    </w:p>
    <w:p w14:paraId="64B746E3" w14:textId="77777777" w:rsidR="002D7A09" w:rsidRDefault="002D7A09">
      <w:pPr>
        <w:rPr>
          <w:rFonts w:ascii="Arial" w:eastAsia="Arial" w:hAnsi="Arial" w:cs="Arial"/>
          <w:b/>
          <w:bCs/>
          <w:sz w:val="22"/>
          <w:szCs w:val="22"/>
        </w:rPr>
      </w:pPr>
    </w:p>
    <w:p w14:paraId="787DC66B" w14:textId="77777777" w:rsidR="00E516CF" w:rsidRDefault="00E516CF">
      <w:pPr>
        <w:rPr>
          <w:rFonts w:ascii="Arial" w:eastAsia="Arial" w:hAnsi="Arial" w:cs="Arial"/>
          <w:b/>
          <w:bCs/>
          <w:sz w:val="22"/>
          <w:szCs w:val="22"/>
        </w:rPr>
      </w:pPr>
    </w:p>
    <w:p w14:paraId="64B746E4" w14:textId="77777777" w:rsidR="002D7A09" w:rsidRDefault="002D7A09">
      <w:pPr>
        <w:jc w:val="center"/>
        <w:rPr>
          <w:rFonts w:ascii="Arial" w:eastAsia="Arial" w:hAnsi="Arial" w:cs="Arial"/>
          <w:b/>
          <w:bCs/>
          <w:sz w:val="22"/>
          <w:szCs w:val="22"/>
        </w:rPr>
      </w:pPr>
    </w:p>
    <w:p w14:paraId="64B746E5" w14:textId="77777777" w:rsidR="002D7A09" w:rsidRDefault="00332BB4">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64B746E6" w14:textId="77777777" w:rsidR="002D7A09" w:rsidRDefault="00332BB4">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64B746E7" w14:textId="77777777" w:rsidR="002D7A09" w:rsidRDefault="002D7A09">
      <w:pPr>
        <w:rPr>
          <w:rFonts w:ascii="Arial" w:eastAsia="Arial" w:hAnsi="Arial" w:cs="Arial"/>
          <w:sz w:val="22"/>
          <w:szCs w:val="22"/>
        </w:rPr>
      </w:pPr>
    </w:p>
    <w:p w14:paraId="64B746E8" w14:textId="77777777" w:rsidR="002D7A09" w:rsidRDefault="00332BB4">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64B746E9" w14:textId="77777777" w:rsidR="002D7A09" w:rsidRDefault="00332BB4">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1E4DA6E6" w14:textId="77777777" w:rsidR="00D34985" w:rsidRDefault="00D34985">
      <w:pPr>
        <w:pBdr>
          <w:top w:val="nil"/>
          <w:left w:val="nil"/>
          <w:bottom w:val="nil"/>
          <w:right w:val="nil"/>
          <w:between w:val="nil"/>
        </w:pBdr>
        <w:rPr>
          <w:rFonts w:ascii="Arial" w:eastAsia="Arial" w:hAnsi="Arial" w:cs="Arial"/>
          <w:i/>
          <w:iCs/>
          <w:color w:val="EE0000"/>
          <w:sz w:val="16"/>
          <w:szCs w:val="16"/>
        </w:rPr>
      </w:pPr>
    </w:p>
    <w:p w14:paraId="22C86DC7" w14:textId="77777777" w:rsidR="00D34985" w:rsidRPr="00D34985" w:rsidRDefault="00D34985" w:rsidP="00D34985">
      <w:pPr>
        <w:pBdr>
          <w:top w:val="nil"/>
          <w:left w:val="nil"/>
          <w:bottom w:val="nil"/>
          <w:right w:val="nil"/>
          <w:between w:val="nil"/>
        </w:pBdr>
        <w:rPr>
          <w:rFonts w:ascii="Arial" w:eastAsia="Arial" w:hAnsi="Arial" w:cs="Arial"/>
          <w:i/>
          <w:iCs/>
          <w:color w:val="EE0000"/>
          <w:sz w:val="16"/>
          <w:szCs w:val="16"/>
          <w:lang w:val="es-CO"/>
        </w:rPr>
      </w:pPr>
      <w:r w:rsidRPr="00D34985">
        <w:rPr>
          <w:rFonts w:ascii="Arial" w:eastAsia="Arial" w:hAnsi="Arial" w:cs="Arial"/>
          <w:i/>
          <w:iCs/>
          <w:color w:val="EE0000"/>
          <w:sz w:val="16"/>
          <w:szCs w:val="16"/>
          <w:lang w:val="es-CO"/>
        </w:rPr>
        <w:t> </w:t>
      </w:r>
    </w:p>
    <w:sectPr w:rsidR="00D34985" w:rsidRPr="00D34985">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ECD321" w14:textId="77777777" w:rsidR="00920AE8" w:rsidRDefault="00920AE8">
      <w:r>
        <w:separator/>
      </w:r>
    </w:p>
  </w:endnote>
  <w:endnote w:type="continuationSeparator" w:id="0">
    <w:p w14:paraId="737B4C53" w14:textId="77777777" w:rsidR="00920AE8" w:rsidRDefault="00920A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lay">
    <w:charset w:val="00"/>
    <w:family w:val="auto"/>
    <w:pitch w:val="default"/>
    <w:embedRegular r:id="rId1" w:fontKey="{79D462FA-40B2-4C43-8777-63280A8DB90D}"/>
  </w:font>
  <w:font w:name="Aptos Display">
    <w:charset w:val="00"/>
    <w:family w:val="swiss"/>
    <w:pitch w:val="variable"/>
    <w:sig w:usb0="20000287" w:usb1="00000003" w:usb2="00000000" w:usb3="00000000" w:csb0="0000019F" w:csb1="00000000"/>
    <w:embedRegular r:id="rId2" w:fontKey="{39AB273E-4370-45A1-8AB9-59D54F9C84E1}"/>
  </w:font>
  <w:font w:name="Aptos">
    <w:charset w:val="00"/>
    <w:family w:val="swiss"/>
    <w:pitch w:val="variable"/>
    <w:sig w:usb0="20000287" w:usb1="00000003" w:usb2="00000000" w:usb3="00000000" w:csb0="0000019F" w:csb1="00000000"/>
    <w:embedRegular r:id="rId3" w:fontKey="{BC7E9089-10AC-4C9F-B007-7820A9642318}"/>
    <w:embedItalic r:id="rId4" w:fontKey="{3F3C7DD5-EF32-4EB6-A5E8-B499B8286F59}"/>
    <w:embedBoldItalic r:id="rId5" w:fontKey="{50BC676C-EF3E-423F-860A-DE0C99ABB23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F4E16A2B-5120-4AC2-85CC-B60B2BDA5751}"/>
    <w:embedBold r:id="rId7" w:fontKey="{C7E56D15-94CF-49FA-B542-3132DB80E4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746F1" w14:textId="77777777" w:rsidR="002D7A09" w:rsidRDefault="00332BB4">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64B746FB" wp14:editId="64B746FC">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2"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4B746F2" w14:textId="616C83CD" w:rsidR="002D7A09" w:rsidRDefault="00332BB4">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0200A4">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0200A4">
      <w:rPr>
        <w:b/>
        <w:bCs/>
        <w:noProof/>
        <w:color w:val="000000"/>
      </w:rPr>
      <w:t>2</w:t>
    </w:r>
    <w:r>
      <w:rPr>
        <w:b/>
        <w:bCs/>
        <w:color w:val="000000"/>
      </w:rPr>
      <w:fldChar w:fldCharType="end"/>
    </w:r>
  </w:p>
  <w:p w14:paraId="64B746F3" w14:textId="77777777" w:rsidR="002D7A09" w:rsidRDefault="00332BB4">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4B746F4" w14:textId="77777777" w:rsidR="002D7A09" w:rsidRDefault="00332BB4">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4B746FD" wp14:editId="64B746FE">
              <wp:simplePos x="0" y="0"/>
              <wp:positionH relativeFrom="column">
                <wp:posOffset>5189539</wp:posOffset>
              </wp:positionH>
              <wp:positionV relativeFrom="paragraph">
                <wp:posOffset>87313</wp:posOffset>
              </wp:positionV>
              <wp:extent cx="1069974" cy="727709"/>
              <wp:effectExtent l="0" t="0" r="0" b="0"/>
              <wp:wrapSquare wrapText="bothSides" distT="45720" distB="45720" distL="114300" distR="114300"/>
              <wp:docPr id="1725787590" name="Rectángulo 1725787590"/>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64B746FF" w14:textId="77777777" w:rsidR="002D7A09" w:rsidRDefault="00332BB4">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4B746FD" id="Rectángulo 1725787590" o:spid="_x0000_s1026" style="position:absolute;margin-left:408.65pt;margin-top:6.9pt;width:84.25pt;height:57.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" strokecolor="white [3201]">
              <v:stroke startarrowwidth="narrow" startarrowlength="short" endarrowwidth="narrow" endarrowlength="short"/>
              <v:textbox inset="2.53958mm,1.2694mm,2.53958mm,1.2694mm">
                <w:txbxContent>
                  <w:p w14:paraId="64B746FF" w14:textId="77777777" w:rsidR="002D7A09" w:rsidRDefault="00332BB4">
                    <w:pPr>
                      <w:jc w:val="center"/>
                      <w:textDirection w:val="btLr"/>
                    </w:pPr>
                    <w:r>
                      <w:rPr>
                        <w:rFonts w:ascii="Arial" w:eastAsia="Arial" w:hAnsi="Arial" w:cs="Arial"/>
                        <w:color w:val="000000"/>
                        <w:sz w:val="14"/>
                      </w:rPr>
                      <w:t>PG02-PL03 V2</w:t>
                    </w:r>
                  </w:p>
                </w:txbxContent>
              </v:textbox>
              <w10:wrap type="square"/>
            </v:rect>
          </w:pict>
        </mc:Fallback>
      </mc:AlternateContent>
    </w:r>
  </w:p>
  <w:p w14:paraId="64B746F5" w14:textId="77777777" w:rsidR="002D7A09" w:rsidRDefault="00332BB4">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4B746F6" w14:textId="77777777" w:rsidR="002D7A09" w:rsidRPr="002B1275" w:rsidRDefault="00332BB4">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2B1275">
      <w:rPr>
        <w:rFonts w:ascii="Arial" w:eastAsia="Arial" w:hAnsi="Arial" w:cs="Arial"/>
        <w:color w:val="000000"/>
        <w:sz w:val="16"/>
        <w:szCs w:val="16"/>
        <w:lang w:val="pt-PT"/>
      </w:rPr>
      <w:t xml:space="preserve">Código Postal: 110231 </w:t>
    </w:r>
  </w:p>
  <w:p w14:paraId="64B746F7" w14:textId="77777777" w:rsidR="002D7A09" w:rsidRPr="002B1275" w:rsidRDefault="00332BB4">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2B1275">
        <w:rPr>
          <w:rFonts w:ascii="Arial" w:eastAsia="Arial" w:hAnsi="Arial" w:cs="Arial"/>
          <w:color w:val="0000FF"/>
          <w:sz w:val="16"/>
          <w:szCs w:val="16"/>
          <w:u w:val="single"/>
          <w:lang w:val="pt-PT"/>
        </w:rPr>
        <w:t>www.habitatbogota.gov.co</w:t>
      </w:r>
    </w:hyperlink>
    <w:r w:rsidRPr="002B1275">
      <w:rPr>
        <w:rFonts w:ascii="Arial" w:eastAsia="Arial" w:hAnsi="Arial" w:cs="Arial"/>
        <w:color w:val="000000"/>
        <w:sz w:val="16"/>
        <w:szCs w:val="16"/>
        <w:lang w:val="pt-PT"/>
      </w:rPr>
      <w:t xml:space="preserve">                 </w:t>
    </w:r>
  </w:p>
  <w:p w14:paraId="64B746F8" w14:textId="77777777" w:rsidR="002D7A09" w:rsidRPr="002B1275" w:rsidRDefault="002D7A09">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2449F" w14:textId="77777777" w:rsidR="00920AE8" w:rsidRDefault="00920AE8">
      <w:r>
        <w:separator/>
      </w:r>
    </w:p>
  </w:footnote>
  <w:footnote w:type="continuationSeparator" w:id="0">
    <w:p w14:paraId="2B1E0BBF" w14:textId="77777777" w:rsidR="00920AE8" w:rsidRDefault="00920AE8">
      <w:r>
        <w:continuationSeparator/>
      </w:r>
    </w:p>
  </w:footnote>
  <w:footnote w:id="1">
    <w:p w14:paraId="39D0531A" w14:textId="77777777" w:rsidR="00B006FB" w:rsidRPr="00DB23AD" w:rsidRDefault="00B006FB" w:rsidP="00B006FB">
      <w:pPr>
        <w:pStyle w:val="Textonotapie"/>
        <w:jc w:val="both"/>
      </w:pPr>
      <w:r w:rsidRPr="00DB23AD">
        <w:rPr>
          <w:rStyle w:val="Refdenotaalpie"/>
        </w:rPr>
        <w:footnoteRef/>
      </w:r>
      <w:r w:rsidRPr="00DB23AD">
        <w:t xml:space="preserve"> Sentencia C-865 del 7 de septiembre de 2004, M.P. Dr. Rodrigo Escobar Gil.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746EB" w14:textId="77777777" w:rsidR="002D7A09" w:rsidRDefault="002D7A09">
    <w:pPr>
      <w:rPr>
        <w:b/>
        <w:bCs/>
        <w:sz w:val="22"/>
        <w:szCs w:val="22"/>
      </w:rPr>
    </w:pPr>
    <w:bookmarkStart w:id="7" w:name="_heading=h.g0ck6mntm1z9" w:colFirst="0" w:colLast="0"/>
    <w:bookmarkEnd w:id="7"/>
  </w:p>
  <w:p w14:paraId="64B746EC" w14:textId="77777777" w:rsidR="002D7A09" w:rsidRDefault="002D7A09">
    <w:pPr>
      <w:rPr>
        <w:b/>
        <w:bCs/>
        <w:sz w:val="22"/>
        <w:szCs w:val="22"/>
      </w:rPr>
    </w:pPr>
  </w:p>
  <w:p w14:paraId="64B746ED" w14:textId="77777777" w:rsidR="002D7A09" w:rsidRDefault="002D7A09">
    <w:pPr>
      <w:rPr>
        <w:b/>
        <w:bCs/>
        <w:sz w:val="22"/>
        <w:szCs w:val="22"/>
      </w:rPr>
    </w:pPr>
  </w:p>
  <w:p w14:paraId="64B746EE" w14:textId="77777777" w:rsidR="002D7A09" w:rsidRDefault="00332BB4">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64B746EF" w14:textId="346C16AD" w:rsidR="002D7A09" w:rsidRDefault="00332BB4">
    <w:pPr>
      <w:jc w:val="center"/>
      <w:rPr>
        <w:rFonts w:ascii="Arial" w:eastAsia="Arial" w:hAnsi="Arial" w:cs="Arial"/>
        <w:sz w:val="22"/>
        <w:szCs w:val="22"/>
      </w:rPr>
    </w:pPr>
    <w:r>
      <w:rPr>
        <w:rFonts w:ascii="Arial" w:eastAsia="Arial" w:hAnsi="Arial" w:cs="Arial"/>
        <w:sz w:val="22"/>
        <w:szCs w:val="22"/>
      </w:rPr>
      <w:t>“</w:t>
    </w:r>
    <w:r w:rsidR="006D629B" w:rsidRPr="006D629B">
      <w:rPr>
        <w:rFonts w:ascii="Arial" w:eastAsia="Arial" w:hAnsi="Arial" w:cs="Arial"/>
        <w:sz w:val="22"/>
        <w:szCs w:val="22"/>
      </w:rPr>
      <w:t>Por la cual se culmina una actuación administrativa</w:t>
    </w:r>
    <w:r>
      <w:rPr>
        <w:rFonts w:ascii="Arial" w:eastAsia="Arial" w:hAnsi="Arial" w:cs="Arial"/>
        <w:sz w:val="22"/>
        <w:szCs w:val="22"/>
      </w:rPr>
      <w:t>”</w:t>
    </w:r>
  </w:p>
  <w:p w14:paraId="64B746F0" w14:textId="77777777" w:rsidR="002D7A09" w:rsidRDefault="00332BB4">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64B746F9" wp14:editId="64B746FA">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9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BF0C07"/>
    <w:multiLevelType w:val="hybridMultilevel"/>
    <w:tmpl w:val="2B106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66133F5D"/>
    <w:multiLevelType w:val="multilevel"/>
    <w:tmpl w:val="B29C81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516963083">
    <w:abstractNumId w:val="1"/>
  </w:num>
  <w:num w:numId="2" w16cid:durableId="7444909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7A09"/>
    <w:rsid w:val="00000978"/>
    <w:rsid w:val="000200A4"/>
    <w:rsid w:val="000644E8"/>
    <w:rsid w:val="000C18AF"/>
    <w:rsid w:val="000D4E3A"/>
    <w:rsid w:val="000E17C0"/>
    <w:rsid w:val="00216B92"/>
    <w:rsid w:val="00265D9C"/>
    <w:rsid w:val="002B1275"/>
    <w:rsid w:val="002D7A09"/>
    <w:rsid w:val="00304A4A"/>
    <w:rsid w:val="00332BB4"/>
    <w:rsid w:val="003864E3"/>
    <w:rsid w:val="003E2316"/>
    <w:rsid w:val="00463AF0"/>
    <w:rsid w:val="0051147E"/>
    <w:rsid w:val="00544DA1"/>
    <w:rsid w:val="005907CF"/>
    <w:rsid w:val="00597E81"/>
    <w:rsid w:val="005C25E8"/>
    <w:rsid w:val="005F3527"/>
    <w:rsid w:val="00672011"/>
    <w:rsid w:val="006D629B"/>
    <w:rsid w:val="007133B4"/>
    <w:rsid w:val="0075249B"/>
    <w:rsid w:val="007856AF"/>
    <w:rsid w:val="00820C95"/>
    <w:rsid w:val="00823EBA"/>
    <w:rsid w:val="00833D0C"/>
    <w:rsid w:val="00846659"/>
    <w:rsid w:val="008B6DDE"/>
    <w:rsid w:val="008D7F6E"/>
    <w:rsid w:val="0092089F"/>
    <w:rsid w:val="00920AE8"/>
    <w:rsid w:val="00942BA4"/>
    <w:rsid w:val="0098179B"/>
    <w:rsid w:val="00995A5C"/>
    <w:rsid w:val="00A01040"/>
    <w:rsid w:val="00AF0CC3"/>
    <w:rsid w:val="00B006FB"/>
    <w:rsid w:val="00B73FF8"/>
    <w:rsid w:val="00B82D89"/>
    <w:rsid w:val="00C54ECF"/>
    <w:rsid w:val="00CC4A2A"/>
    <w:rsid w:val="00D34985"/>
    <w:rsid w:val="00D65870"/>
    <w:rsid w:val="00DA6073"/>
    <w:rsid w:val="00DB4DEB"/>
    <w:rsid w:val="00DC2DF7"/>
    <w:rsid w:val="00DE547D"/>
    <w:rsid w:val="00E37E13"/>
    <w:rsid w:val="00E516CF"/>
    <w:rsid w:val="00F15EEF"/>
    <w:rsid w:val="00FA7A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B74666"/>
  <w15:docId w15:val="{7C727F8A-5818-4EE9-8975-D4B42804AB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 w:type="paragraph" w:styleId="Sinespaciado">
    <w:name w:val="No Spacing"/>
    <w:uiPriority w:val="1"/>
    <w:qFormat/>
    <w:rsid w:val="00B006FB"/>
    <w:rPr>
      <w:rFonts w:asciiTheme="minorHAnsi" w:eastAsiaTheme="minorHAnsi" w:hAnsiTheme="minorHAnsi" w:cstheme="minorBidi"/>
      <w:sz w:val="22"/>
      <w:szCs w:val="22"/>
      <w:lang w:val="es-C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outlook.office.com/mai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7kHuePNrA1kUoIHYWiP9L6JZsg==">CgMxLjAyDmguNjN1OXh6bWtxenZzMg5oLnR6aWliOG1qdTk0ODIOaC52bXE1amxzeWxjamgyCWguM3pueXNoNzIOaC4xamQ4MGV5bXhpNjEyDmguNG00cTZiMXRqZ3ZnMg5oLmcwY2s2bW50bTF6OTgAciExaWlqRjFxYmJQemZkQVYwWlQzZmIzM2pMeVNINXlJNy0=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4037</Words>
  <Characters>22206</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2026-03-04T22:08:00Z</dcterms:created>
  <dcterms:modified xsi:type="dcterms:W3CDTF">2026-03-04T22:08:00Z</dcterms:modified>
</cp:coreProperties>
</file>